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5920" w14:textId="77777777" w:rsidR="000A67C0" w:rsidRPr="00BD68B7" w:rsidRDefault="000A67C0" w:rsidP="00D36FB9">
      <w:pPr>
        <w:spacing w:after="0" w:line="240" w:lineRule="auto"/>
        <w:jc w:val="both"/>
        <w:rPr>
          <w:rFonts w:eastAsia="Times New Roman" w:cs="Times New Roman"/>
          <w:szCs w:val="24"/>
        </w:rPr>
      </w:pPr>
    </w:p>
    <w:p w14:paraId="0BF3E57D" w14:textId="77777777" w:rsidR="000A67C0" w:rsidRPr="00BD68B7" w:rsidRDefault="000A67C0" w:rsidP="00D36FB9">
      <w:pPr>
        <w:spacing w:after="0" w:line="240" w:lineRule="auto"/>
        <w:jc w:val="both"/>
        <w:rPr>
          <w:rFonts w:eastAsia="Times New Roman" w:cs="Times New Roman"/>
          <w:szCs w:val="24"/>
        </w:rPr>
      </w:pPr>
    </w:p>
    <w:p w14:paraId="26B79D1E" w14:textId="77777777" w:rsidR="000A67C0" w:rsidRPr="00BD68B7" w:rsidRDefault="000A67C0" w:rsidP="00D36FB9">
      <w:pPr>
        <w:spacing w:after="0" w:line="240" w:lineRule="auto"/>
        <w:jc w:val="both"/>
        <w:rPr>
          <w:rFonts w:eastAsia="Times New Roman" w:cs="Times New Roman"/>
          <w:szCs w:val="24"/>
        </w:rPr>
      </w:pPr>
    </w:p>
    <w:p w14:paraId="6D133DEB" w14:textId="77777777" w:rsidR="000A67C0" w:rsidRPr="00BD68B7" w:rsidRDefault="000A67C0" w:rsidP="00D36FB9">
      <w:pPr>
        <w:spacing w:after="0" w:line="240" w:lineRule="auto"/>
        <w:jc w:val="both"/>
        <w:rPr>
          <w:rFonts w:eastAsia="Times New Roman" w:cs="Times New Roman"/>
          <w:szCs w:val="24"/>
        </w:rPr>
      </w:pPr>
    </w:p>
    <w:p w14:paraId="163B5F27" w14:textId="77777777" w:rsidR="000A67C0" w:rsidRPr="00BD68B7" w:rsidRDefault="000A67C0" w:rsidP="00D36FB9">
      <w:pPr>
        <w:spacing w:after="0" w:line="240" w:lineRule="auto"/>
        <w:jc w:val="both"/>
        <w:rPr>
          <w:rFonts w:eastAsia="Times New Roman" w:cs="Times New Roman"/>
          <w:szCs w:val="24"/>
        </w:rPr>
      </w:pPr>
    </w:p>
    <w:p w14:paraId="5E330B5E" w14:textId="74BE1A1E" w:rsidR="000A67C0" w:rsidRPr="00BD68B7" w:rsidRDefault="003C5EF4" w:rsidP="005F70BC">
      <w:pPr>
        <w:spacing w:after="0" w:line="240" w:lineRule="auto"/>
        <w:jc w:val="both"/>
        <w:rPr>
          <w:rFonts w:eastAsia="Times New Roman" w:cs="Times New Roman"/>
          <w:szCs w:val="24"/>
        </w:rPr>
      </w:pPr>
      <w:r w:rsidRPr="00BD68B7">
        <w:rPr>
          <w:rFonts w:eastAsia="Times New Roman" w:cs="Times New Roman"/>
          <w:szCs w:val="24"/>
        </w:rPr>
        <w:t xml:space="preserve">Group of Experts on Action </w:t>
      </w:r>
      <w:r w:rsidR="005F70BC" w:rsidRPr="00BD68B7">
        <w:rPr>
          <w:rFonts w:eastAsia="Times New Roman" w:cs="Times New Roman"/>
          <w:szCs w:val="24"/>
        </w:rPr>
        <w:t xml:space="preserve">against </w:t>
      </w:r>
      <w:r w:rsidRPr="00BD68B7">
        <w:rPr>
          <w:rFonts w:eastAsia="Times New Roman" w:cs="Times New Roman"/>
          <w:szCs w:val="24"/>
        </w:rPr>
        <w:t xml:space="preserve">Violence against </w:t>
      </w:r>
      <w:r w:rsidR="005F70BC" w:rsidRPr="00BD68B7">
        <w:rPr>
          <w:rFonts w:eastAsia="Times New Roman" w:cs="Times New Roman"/>
          <w:szCs w:val="24"/>
        </w:rPr>
        <w:t>Women and Domestic Violence</w:t>
      </w:r>
    </w:p>
    <w:p w14:paraId="15065F2E" w14:textId="21870F5E" w:rsidR="005F70BC" w:rsidRPr="00BD68B7" w:rsidRDefault="005F70BC" w:rsidP="005F70BC">
      <w:pPr>
        <w:spacing w:after="0" w:line="240" w:lineRule="auto"/>
        <w:jc w:val="both"/>
        <w:rPr>
          <w:rFonts w:eastAsia="Times New Roman" w:cs="Times New Roman"/>
          <w:szCs w:val="24"/>
        </w:rPr>
      </w:pPr>
      <w:r w:rsidRPr="00BD68B7">
        <w:rPr>
          <w:rFonts w:eastAsia="Times New Roman" w:cs="Times New Roman"/>
          <w:szCs w:val="24"/>
        </w:rPr>
        <w:t>(</w:t>
      </w:r>
      <w:r w:rsidR="003C5EF4" w:rsidRPr="00BD68B7">
        <w:rPr>
          <w:rFonts w:eastAsia="Times New Roman" w:cs="Times New Roman"/>
          <w:szCs w:val="24"/>
        </w:rPr>
        <w:t>GREVIO</w:t>
      </w:r>
      <w:r w:rsidRPr="00BD68B7">
        <w:rPr>
          <w:rFonts w:eastAsia="Times New Roman" w:cs="Times New Roman"/>
          <w:szCs w:val="24"/>
        </w:rPr>
        <w:t>)</w:t>
      </w:r>
    </w:p>
    <w:p w14:paraId="6E591E6D" w14:textId="77777777" w:rsidR="005F70BC" w:rsidRPr="00BD68B7" w:rsidRDefault="005F70BC" w:rsidP="00D36FB9">
      <w:pPr>
        <w:spacing w:after="0" w:line="240" w:lineRule="auto"/>
        <w:jc w:val="both"/>
        <w:rPr>
          <w:rFonts w:eastAsia="Times New Roman" w:cs="Times New Roman"/>
          <w:szCs w:val="24"/>
        </w:rPr>
      </w:pPr>
    </w:p>
    <w:p w14:paraId="674802C4" w14:textId="5F9DB6F9" w:rsidR="000A67C0" w:rsidRPr="00BD68B7" w:rsidRDefault="001C2F58" w:rsidP="00D36FB9">
      <w:pPr>
        <w:spacing w:after="0" w:line="240" w:lineRule="auto"/>
        <w:jc w:val="both"/>
        <w:rPr>
          <w:rFonts w:eastAsia="Times New Roman" w:cs="Times New Roman"/>
          <w:szCs w:val="24"/>
        </w:rPr>
      </w:pPr>
      <w:r w:rsidRPr="00BD68B7">
        <w:rPr>
          <w:rFonts w:eastAsia="Times New Roman" w:cs="Times New Roman"/>
          <w:szCs w:val="24"/>
        </w:rPr>
        <w:t>conventionviolence@coe.int</w:t>
      </w:r>
    </w:p>
    <w:p w14:paraId="01202DA8" w14:textId="77777777" w:rsidR="000A67C0" w:rsidRPr="00BD68B7" w:rsidRDefault="000A67C0" w:rsidP="00D36FB9">
      <w:pPr>
        <w:spacing w:after="0" w:line="240" w:lineRule="auto"/>
        <w:jc w:val="both"/>
        <w:rPr>
          <w:rFonts w:eastAsia="Times New Roman" w:cs="Times New Roman"/>
          <w:szCs w:val="24"/>
        </w:rPr>
      </w:pPr>
    </w:p>
    <w:p w14:paraId="4A844412" w14:textId="77777777" w:rsidR="000A67C0" w:rsidRPr="00BD68B7" w:rsidRDefault="000A67C0" w:rsidP="00D36FB9">
      <w:pPr>
        <w:spacing w:after="0" w:line="240" w:lineRule="auto"/>
        <w:jc w:val="both"/>
        <w:rPr>
          <w:rFonts w:eastAsia="Times New Roman" w:cs="Times New Roman"/>
          <w:szCs w:val="24"/>
        </w:rPr>
      </w:pPr>
    </w:p>
    <w:p w14:paraId="4F344FAA" w14:textId="542A00C6" w:rsidR="000A67C0" w:rsidRPr="00BD68B7" w:rsidRDefault="00B22ABE" w:rsidP="00731F40">
      <w:pPr>
        <w:spacing w:after="0" w:line="240" w:lineRule="auto"/>
        <w:rPr>
          <w:rFonts w:eastAsia="Times New Roman" w:cs="Times New Roman"/>
          <w:szCs w:val="24"/>
        </w:rPr>
      </w:pPr>
      <w:r w:rsidRPr="00BD68B7">
        <w:rPr>
          <w:rFonts w:eastAsia="Times New Roman" w:cs="Times New Roman"/>
          <w:szCs w:val="24"/>
        </w:rPr>
        <w:t xml:space="preserve">Comments on the </w:t>
      </w:r>
      <w:r w:rsidR="000847FE" w:rsidRPr="00BD68B7">
        <w:rPr>
          <w:rFonts w:eastAsia="Times New Roman" w:cs="Times New Roman"/>
          <w:szCs w:val="24"/>
        </w:rPr>
        <w:t xml:space="preserve">Report by the Government of Finland </w:t>
      </w:r>
      <w:r w:rsidR="00C31C28" w:rsidRPr="00BD68B7">
        <w:rPr>
          <w:rFonts w:eastAsia="Times New Roman" w:cs="Times New Roman"/>
          <w:szCs w:val="24"/>
        </w:rPr>
        <w:t xml:space="preserve">of </w:t>
      </w:r>
      <w:r w:rsidR="000847FE" w:rsidRPr="00BD68B7">
        <w:rPr>
          <w:rFonts w:eastAsia="Times New Roman" w:cs="Times New Roman"/>
          <w:szCs w:val="24"/>
        </w:rPr>
        <w:t>2</w:t>
      </w:r>
      <w:r w:rsidR="003C5EF4" w:rsidRPr="00BD68B7">
        <w:rPr>
          <w:rFonts w:eastAsia="Times New Roman" w:cs="Times New Roman"/>
          <w:szCs w:val="24"/>
        </w:rPr>
        <w:t>6</w:t>
      </w:r>
      <w:r w:rsidR="000847FE" w:rsidRPr="00BD68B7">
        <w:rPr>
          <w:rFonts w:eastAsia="Times New Roman" w:cs="Times New Roman"/>
          <w:szCs w:val="24"/>
        </w:rPr>
        <w:t xml:space="preserve"> </w:t>
      </w:r>
      <w:r w:rsidRPr="00BD68B7">
        <w:rPr>
          <w:rFonts w:eastAsia="Times New Roman" w:cs="Times New Roman"/>
          <w:szCs w:val="24"/>
        </w:rPr>
        <w:t>October</w:t>
      </w:r>
      <w:r w:rsidR="000847FE" w:rsidRPr="00BD68B7">
        <w:rPr>
          <w:rFonts w:eastAsia="Times New Roman" w:cs="Times New Roman"/>
          <w:szCs w:val="24"/>
        </w:rPr>
        <w:t xml:space="preserve"> 2023</w:t>
      </w:r>
    </w:p>
    <w:p w14:paraId="0913DA11" w14:textId="22A1D72F" w:rsidR="000847FE" w:rsidRPr="00BD68B7" w:rsidRDefault="000847FE" w:rsidP="00731F40">
      <w:pPr>
        <w:spacing w:after="0" w:line="240" w:lineRule="auto"/>
        <w:rPr>
          <w:rFonts w:eastAsia="Times New Roman" w:cs="Times New Roman"/>
          <w:szCs w:val="24"/>
        </w:rPr>
      </w:pPr>
      <w:r w:rsidRPr="00BD68B7">
        <w:rPr>
          <w:rFonts w:eastAsia="Times New Roman" w:cs="Times New Roman"/>
          <w:szCs w:val="24"/>
        </w:rPr>
        <w:t xml:space="preserve">with reference to </w:t>
      </w:r>
      <w:r w:rsidR="003C5EF4" w:rsidRPr="00BD68B7">
        <w:rPr>
          <w:rFonts w:eastAsia="Times New Roman" w:cs="Times New Roman"/>
          <w:szCs w:val="24"/>
        </w:rPr>
        <w:t>GREVIO</w:t>
      </w:r>
      <w:r w:rsidRPr="00BD68B7">
        <w:rPr>
          <w:rFonts w:eastAsia="Times New Roman" w:cs="Times New Roman"/>
          <w:szCs w:val="24"/>
        </w:rPr>
        <w:t>/</w:t>
      </w:r>
      <w:proofErr w:type="gramStart"/>
      <w:r w:rsidRPr="00BD68B7">
        <w:rPr>
          <w:rFonts w:eastAsia="Times New Roman" w:cs="Times New Roman"/>
          <w:szCs w:val="24"/>
        </w:rPr>
        <w:t>Inf(</w:t>
      </w:r>
      <w:proofErr w:type="gramEnd"/>
      <w:r w:rsidRPr="00BD68B7">
        <w:rPr>
          <w:rFonts w:eastAsia="Times New Roman" w:cs="Times New Roman"/>
          <w:szCs w:val="24"/>
        </w:rPr>
        <w:t>2022)</w:t>
      </w:r>
      <w:r w:rsidR="003C5EF4" w:rsidRPr="00BD68B7">
        <w:rPr>
          <w:rFonts w:eastAsia="Times New Roman" w:cs="Times New Roman"/>
          <w:szCs w:val="24"/>
        </w:rPr>
        <w:t>3</w:t>
      </w:r>
      <w:r w:rsidRPr="00BD68B7">
        <w:rPr>
          <w:rFonts w:eastAsia="Times New Roman" w:cs="Times New Roman"/>
          <w:szCs w:val="24"/>
        </w:rPr>
        <w:t>1</w:t>
      </w:r>
      <w:r w:rsidR="00731F40" w:rsidRPr="00BD68B7">
        <w:rPr>
          <w:rFonts w:eastAsia="Times New Roman" w:cs="Times New Roman"/>
          <w:szCs w:val="24"/>
        </w:rPr>
        <w:br/>
      </w:r>
      <w:r w:rsidR="00B22ABE" w:rsidRPr="00BD68B7">
        <w:rPr>
          <w:rFonts w:eastAsia="Times New Roman" w:cs="Times New Roman"/>
          <w:szCs w:val="24"/>
        </w:rPr>
        <w:t xml:space="preserve">on the </w:t>
      </w:r>
      <w:r w:rsidR="00B05E26" w:rsidRPr="00BD68B7">
        <w:rPr>
          <w:rFonts w:eastAsia="Times New Roman" w:cs="Times New Roman"/>
          <w:szCs w:val="24"/>
        </w:rPr>
        <w:t>1</w:t>
      </w:r>
      <w:r w:rsidR="00B22ABE" w:rsidRPr="00BD68B7">
        <w:rPr>
          <w:rFonts w:eastAsia="Times New Roman" w:cs="Times New Roman"/>
          <w:szCs w:val="24"/>
        </w:rPr>
        <w:t>st thematic evaluation round:</w:t>
      </w:r>
      <w:r w:rsidR="00731F40" w:rsidRPr="00BD68B7">
        <w:rPr>
          <w:rFonts w:eastAsia="Times New Roman" w:cs="Times New Roman"/>
          <w:szCs w:val="24"/>
        </w:rPr>
        <w:br/>
      </w:r>
      <w:r w:rsidR="00B22ABE" w:rsidRPr="00BD68B7">
        <w:rPr>
          <w:rFonts w:eastAsia="Times New Roman" w:cs="Times New Roman"/>
          <w:szCs w:val="24"/>
        </w:rPr>
        <w:t>Building trust by delivering support, protection and justice</w:t>
      </w:r>
    </w:p>
    <w:p w14:paraId="24E10BFE" w14:textId="77777777" w:rsidR="000A67C0" w:rsidRPr="00BD68B7" w:rsidRDefault="000A67C0" w:rsidP="00D36FB9">
      <w:pPr>
        <w:spacing w:after="0" w:line="240" w:lineRule="auto"/>
        <w:jc w:val="both"/>
        <w:rPr>
          <w:rFonts w:eastAsia="Times New Roman" w:cs="Times New Roman"/>
          <w:szCs w:val="24"/>
        </w:rPr>
      </w:pPr>
    </w:p>
    <w:p w14:paraId="6895E3F1" w14:textId="0B113F9E" w:rsidR="00B7273B" w:rsidRPr="00BD68B7" w:rsidRDefault="000847FE" w:rsidP="00693FCF">
      <w:pPr>
        <w:rPr>
          <w:b/>
          <w:bCs/>
          <w:sz w:val="32"/>
          <w:szCs w:val="32"/>
        </w:rPr>
      </w:pPr>
      <w:r w:rsidRPr="00BD68B7">
        <w:rPr>
          <w:b/>
          <w:bCs/>
          <w:sz w:val="32"/>
          <w:szCs w:val="32"/>
        </w:rPr>
        <w:t>Comments of the Non-Discrimination Ombudsman</w:t>
      </w:r>
    </w:p>
    <w:p w14:paraId="5B10A667" w14:textId="00CDE31A" w:rsidR="00C96855" w:rsidRPr="00BD68B7" w:rsidRDefault="00C96855" w:rsidP="00C96855">
      <w:pPr>
        <w:spacing w:after="240" w:line="240" w:lineRule="auto"/>
        <w:ind w:left="2608"/>
        <w:jc w:val="both"/>
        <w:rPr>
          <w:rFonts w:eastAsia="Times New Roman" w:cs="Times New Roman"/>
          <w:szCs w:val="24"/>
        </w:rPr>
      </w:pPr>
      <w:r w:rsidRPr="00BD68B7">
        <w:rPr>
          <w:rFonts w:eastAsia="Times New Roman" w:cs="Times New Roman"/>
          <w:szCs w:val="24"/>
        </w:rPr>
        <w:t xml:space="preserve">The Finnish Non-Discrimination Ombudsman acts as the national Rapporteur on Violence against Women. The Ombudsman is an independent and autonomous authority promoting fundamental and human rights. Her mandate was extended to issues related to violence against women in January 2022 with an explicit reference to the Council of Europe Convention on preventing and combating violence against women and domestic violence (hereinafter </w:t>
      </w:r>
      <w:r w:rsidR="006639F4" w:rsidRPr="00BD68B7">
        <w:rPr>
          <w:rFonts w:eastAsia="Times New Roman" w:cs="Times New Roman"/>
          <w:szCs w:val="24"/>
        </w:rPr>
        <w:t>‘</w:t>
      </w:r>
      <w:r w:rsidRPr="00BD68B7">
        <w:rPr>
          <w:rFonts w:eastAsia="Times New Roman" w:cs="Times New Roman"/>
          <w:szCs w:val="24"/>
        </w:rPr>
        <w:t>the Istanbul Convention</w:t>
      </w:r>
      <w:r w:rsidR="006639F4" w:rsidRPr="00BD68B7">
        <w:rPr>
          <w:rFonts w:eastAsia="Times New Roman" w:cs="Times New Roman"/>
          <w:szCs w:val="24"/>
        </w:rPr>
        <w:t>’</w:t>
      </w:r>
      <w:r w:rsidRPr="00BD68B7">
        <w:rPr>
          <w:rFonts w:eastAsia="Times New Roman" w:cs="Times New Roman"/>
          <w:szCs w:val="24"/>
        </w:rPr>
        <w:t xml:space="preserve">, or </w:t>
      </w:r>
      <w:r w:rsidR="006639F4" w:rsidRPr="00BD68B7">
        <w:rPr>
          <w:rFonts w:eastAsia="Times New Roman" w:cs="Times New Roman"/>
          <w:szCs w:val="24"/>
        </w:rPr>
        <w:t>‘</w:t>
      </w:r>
      <w:r w:rsidRPr="00BD68B7">
        <w:rPr>
          <w:rFonts w:eastAsia="Times New Roman" w:cs="Times New Roman"/>
          <w:szCs w:val="24"/>
        </w:rPr>
        <w:t>the Convention</w:t>
      </w:r>
      <w:r w:rsidR="006639F4" w:rsidRPr="00BD68B7">
        <w:rPr>
          <w:rFonts w:eastAsia="Times New Roman" w:cs="Times New Roman"/>
          <w:szCs w:val="24"/>
        </w:rPr>
        <w:t>’</w:t>
      </w:r>
      <w:r w:rsidRPr="00BD68B7">
        <w:rPr>
          <w:rFonts w:eastAsia="Times New Roman" w:cs="Times New Roman"/>
          <w:szCs w:val="24"/>
        </w:rPr>
        <w:t>). According to the Act on Non-Discrimination Ombudsman (1326/2014), the Ombudsman</w:t>
      </w:r>
    </w:p>
    <w:p w14:paraId="28CC9C81" w14:textId="413A60A5" w:rsidR="00C96855" w:rsidRPr="00BD68B7" w:rsidRDefault="00C96855" w:rsidP="00C96855">
      <w:pPr>
        <w:spacing w:after="240" w:line="240" w:lineRule="auto"/>
        <w:ind w:left="2608"/>
        <w:jc w:val="both"/>
        <w:rPr>
          <w:rFonts w:eastAsia="Times New Roman" w:cs="Times New Roman"/>
        </w:rPr>
      </w:pPr>
      <w:r w:rsidRPr="00BD68B7">
        <w:rPr>
          <w:rFonts w:eastAsia="Times New Roman" w:cs="Times New Roman"/>
        </w:rPr>
        <w:t>monitors violence against women and domestic violence, monitors and assesses, jointly with the Committee for Combating Violence against Women and Domestic Violence, measures and policies targeted to prevent and combat all forms of violence covered by the [--] Convention, by means laid down in Article 10 of the Convention.</w:t>
      </w:r>
    </w:p>
    <w:p w14:paraId="35A1FE0B" w14:textId="7EF18B2E" w:rsidR="00C96855" w:rsidRPr="00BD68B7" w:rsidRDefault="00C96855" w:rsidP="00C96855">
      <w:pPr>
        <w:spacing w:after="240" w:line="240" w:lineRule="auto"/>
        <w:ind w:left="2608"/>
        <w:jc w:val="both"/>
        <w:rPr>
          <w:rFonts w:eastAsia="Times New Roman" w:cs="Times New Roman"/>
          <w:szCs w:val="24"/>
        </w:rPr>
      </w:pPr>
      <w:r w:rsidRPr="00BD68B7">
        <w:rPr>
          <w:rFonts w:eastAsia="Times New Roman" w:cs="Times New Roman"/>
          <w:szCs w:val="24"/>
        </w:rPr>
        <w:lastRenderedPageBreak/>
        <w:t xml:space="preserve">The Ombudsman hereby submits her comments on the Report by the Government of Finland on the </w:t>
      </w:r>
      <w:r w:rsidR="00B22ABE" w:rsidRPr="00BD68B7">
        <w:rPr>
          <w:rFonts w:eastAsia="Times New Roman" w:cs="Times New Roman"/>
          <w:szCs w:val="24"/>
        </w:rPr>
        <w:t>first thematic evaluation round by GREVIO</w:t>
      </w:r>
      <w:r w:rsidRPr="00BD68B7">
        <w:rPr>
          <w:rFonts w:eastAsia="Times New Roman" w:cs="Times New Roman"/>
          <w:szCs w:val="24"/>
        </w:rPr>
        <w:t xml:space="preserve">. </w:t>
      </w:r>
      <w:r w:rsidR="00431510" w:rsidRPr="00BD68B7">
        <w:rPr>
          <w:rFonts w:eastAsia="Times New Roman" w:cs="Times New Roman"/>
          <w:szCs w:val="24"/>
        </w:rPr>
        <w:t xml:space="preserve">Comments follow GREVIO’s questionnaire to the Parties and refer to </w:t>
      </w:r>
      <w:r w:rsidR="00172FA1">
        <w:rPr>
          <w:rFonts w:eastAsia="Times New Roman" w:cs="Times New Roman"/>
          <w:szCs w:val="24"/>
        </w:rPr>
        <w:t xml:space="preserve">the </w:t>
      </w:r>
      <w:r w:rsidRPr="00BD68B7">
        <w:rPr>
          <w:rFonts w:eastAsia="Times New Roman" w:cs="Times New Roman"/>
          <w:szCs w:val="24"/>
        </w:rPr>
        <w:t xml:space="preserve">numbered </w:t>
      </w:r>
      <w:r w:rsidR="00431510" w:rsidRPr="00BD68B7">
        <w:rPr>
          <w:rFonts w:eastAsia="Times New Roman" w:cs="Times New Roman"/>
          <w:szCs w:val="24"/>
        </w:rPr>
        <w:t xml:space="preserve">paragraphs </w:t>
      </w:r>
      <w:r w:rsidRPr="00BD68B7">
        <w:rPr>
          <w:rFonts w:eastAsia="Times New Roman" w:cs="Times New Roman"/>
          <w:szCs w:val="24"/>
        </w:rPr>
        <w:t xml:space="preserve">in the </w:t>
      </w:r>
      <w:r w:rsidR="00431510" w:rsidRPr="00BD68B7">
        <w:rPr>
          <w:rFonts w:eastAsia="Times New Roman" w:cs="Times New Roman"/>
          <w:szCs w:val="24"/>
        </w:rPr>
        <w:t xml:space="preserve">Government’s </w:t>
      </w:r>
      <w:r w:rsidRPr="00BD68B7">
        <w:rPr>
          <w:rFonts w:eastAsia="Times New Roman" w:cs="Times New Roman"/>
          <w:szCs w:val="24"/>
        </w:rPr>
        <w:t>report</w:t>
      </w:r>
      <w:r w:rsidR="00431510" w:rsidRPr="00BD68B7">
        <w:rPr>
          <w:rFonts w:eastAsia="Times New Roman" w:cs="Times New Roman"/>
          <w:szCs w:val="24"/>
        </w:rPr>
        <w:t xml:space="preserve">, when </w:t>
      </w:r>
      <w:r w:rsidR="003B4D87" w:rsidRPr="00BD68B7">
        <w:rPr>
          <w:rFonts w:eastAsia="Times New Roman" w:cs="Times New Roman"/>
          <w:szCs w:val="24"/>
        </w:rPr>
        <w:t>d</w:t>
      </w:r>
      <w:r w:rsidR="00431510" w:rsidRPr="00BD68B7">
        <w:rPr>
          <w:rFonts w:eastAsia="Times New Roman" w:cs="Times New Roman"/>
          <w:szCs w:val="24"/>
        </w:rPr>
        <w:t>eemed necessary</w:t>
      </w:r>
      <w:r w:rsidRPr="00BD68B7">
        <w:rPr>
          <w:rFonts w:eastAsia="Times New Roman" w:cs="Times New Roman"/>
          <w:szCs w:val="24"/>
        </w:rPr>
        <w:t>.</w:t>
      </w:r>
    </w:p>
    <w:p w14:paraId="31AA88D3" w14:textId="3F538ADC" w:rsidR="007311CD" w:rsidRDefault="00C96855" w:rsidP="007311CD">
      <w:pPr>
        <w:spacing w:after="240" w:line="240" w:lineRule="auto"/>
        <w:ind w:left="2608"/>
        <w:jc w:val="both"/>
      </w:pPr>
      <w:r w:rsidRPr="00BD68B7">
        <w:t xml:space="preserve">To </w:t>
      </w:r>
      <w:r w:rsidR="00431510" w:rsidRPr="007311CD">
        <w:rPr>
          <w:rFonts w:eastAsia="Times New Roman" w:cs="Times New Roman"/>
          <w:szCs w:val="24"/>
        </w:rPr>
        <w:t>summari</w:t>
      </w:r>
      <w:r w:rsidR="00AE394F">
        <w:rPr>
          <w:rFonts w:eastAsia="Times New Roman" w:cs="Times New Roman"/>
          <w:szCs w:val="24"/>
        </w:rPr>
        <w:t>s</w:t>
      </w:r>
      <w:r w:rsidR="00431510" w:rsidRPr="007311CD">
        <w:rPr>
          <w:rFonts w:eastAsia="Times New Roman" w:cs="Times New Roman"/>
          <w:szCs w:val="24"/>
        </w:rPr>
        <w:t>e</w:t>
      </w:r>
      <w:r w:rsidRPr="00BD68B7">
        <w:t xml:space="preserve">, the Ombudsman wishes to </w:t>
      </w:r>
      <w:r w:rsidR="00677DB0">
        <w:t>emphasise three major concerns</w:t>
      </w:r>
      <w:r w:rsidRPr="00BD68B7">
        <w:t>:</w:t>
      </w:r>
    </w:p>
    <w:p w14:paraId="0692BA1A" w14:textId="01FFB133" w:rsidR="005449DE" w:rsidRPr="005449DE" w:rsidRDefault="005449DE" w:rsidP="007F5A24">
      <w:pPr>
        <w:pStyle w:val="Luettelokappale"/>
        <w:numPr>
          <w:ilvl w:val="0"/>
          <w:numId w:val="6"/>
        </w:numPr>
        <w:spacing w:line="240" w:lineRule="auto"/>
        <w:ind w:hanging="357"/>
        <w:jc w:val="both"/>
        <w:rPr>
          <w:rFonts w:cstheme="minorBidi"/>
          <w:szCs w:val="22"/>
        </w:rPr>
      </w:pPr>
      <w:r w:rsidRPr="005449DE">
        <w:rPr>
          <w:rFonts w:eastAsia="Times New Roman" w:cs="Times New Roman"/>
        </w:rPr>
        <w:t xml:space="preserve">National policies combatting violence </w:t>
      </w:r>
      <w:r>
        <w:rPr>
          <w:rFonts w:eastAsia="Times New Roman" w:cs="Times New Roman"/>
        </w:rPr>
        <w:t xml:space="preserve">are not cross-sectionally and comprehensively gender-sensitive. </w:t>
      </w:r>
      <w:r w:rsidR="0063586F">
        <w:rPr>
          <w:rFonts w:eastAsia="Times New Roman" w:cs="Times New Roman"/>
        </w:rPr>
        <w:t>Not even the Istanbul Convention Action Plan considers explicitly needs for support and protection of women and girls.</w:t>
      </w:r>
    </w:p>
    <w:p w14:paraId="779C8250" w14:textId="5DA287B5" w:rsidR="00AC5213" w:rsidRPr="0063586F" w:rsidRDefault="0063586F" w:rsidP="0063586F">
      <w:pPr>
        <w:pStyle w:val="Luettelokappale"/>
        <w:numPr>
          <w:ilvl w:val="1"/>
          <w:numId w:val="6"/>
        </w:numPr>
        <w:spacing w:line="240" w:lineRule="auto"/>
        <w:ind w:hanging="357"/>
        <w:jc w:val="both"/>
        <w:rPr>
          <w:rFonts w:cstheme="minorBidi"/>
          <w:szCs w:val="22"/>
        </w:rPr>
      </w:pPr>
      <w:r>
        <w:rPr>
          <w:rFonts w:cstheme="minorBidi"/>
          <w:szCs w:val="22"/>
        </w:rPr>
        <w:t>On one hand,</w:t>
      </w:r>
      <w:r w:rsidR="007B7048">
        <w:rPr>
          <w:rFonts w:cstheme="minorBidi"/>
          <w:szCs w:val="22"/>
        </w:rPr>
        <w:t xml:space="preserve"> </w:t>
      </w:r>
      <w:r w:rsidRPr="0063586F">
        <w:rPr>
          <w:rFonts w:cstheme="minorBidi"/>
          <w:szCs w:val="22"/>
        </w:rPr>
        <w:t>policy program</w:t>
      </w:r>
      <w:r>
        <w:rPr>
          <w:rFonts w:cstheme="minorBidi"/>
          <w:szCs w:val="22"/>
        </w:rPr>
        <w:t>m</w:t>
      </w:r>
      <w:r w:rsidRPr="0063586F">
        <w:rPr>
          <w:rFonts w:cstheme="minorBidi"/>
          <w:szCs w:val="22"/>
        </w:rPr>
        <w:t xml:space="preserve">es addressing violence should </w:t>
      </w:r>
      <w:r>
        <w:rPr>
          <w:rFonts w:cstheme="minorBidi"/>
          <w:szCs w:val="22"/>
        </w:rPr>
        <w:t xml:space="preserve">include </w:t>
      </w:r>
      <w:r w:rsidR="008A2E5C">
        <w:rPr>
          <w:rFonts w:cstheme="minorBidi"/>
          <w:szCs w:val="22"/>
        </w:rPr>
        <w:t xml:space="preserve">an </w:t>
      </w:r>
      <w:r>
        <w:rPr>
          <w:rFonts w:cstheme="minorBidi"/>
          <w:szCs w:val="22"/>
        </w:rPr>
        <w:t>intersectional approach to gender. On the other hand, policy programmes on gender equality should acknowledge inequalities between men and women as the root cause of gender-based violence against women.</w:t>
      </w:r>
    </w:p>
    <w:p w14:paraId="2EA744C9" w14:textId="276834CF" w:rsidR="0063586F" w:rsidRPr="008A2E5C" w:rsidRDefault="008A2E5C" w:rsidP="007F5A24">
      <w:pPr>
        <w:pStyle w:val="Luettelokappale"/>
        <w:numPr>
          <w:ilvl w:val="1"/>
          <w:numId w:val="6"/>
        </w:numPr>
        <w:spacing w:line="240" w:lineRule="auto"/>
        <w:ind w:hanging="357"/>
        <w:jc w:val="both"/>
        <w:rPr>
          <w:rFonts w:cstheme="minorBidi"/>
          <w:szCs w:val="22"/>
        </w:rPr>
      </w:pPr>
      <w:r>
        <w:rPr>
          <w:rFonts w:eastAsia="Times New Roman" w:cs="Times New Roman"/>
        </w:rPr>
        <w:t xml:space="preserve">Provision of </w:t>
      </w:r>
      <w:r w:rsidR="0063586F" w:rsidRPr="008A2E5C">
        <w:rPr>
          <w:rFonts w:eastAsia="Times New Roman" w:cs="Times New Roman"/>
        </w:rPr>
        <w:t>public general support services</w:t>
      </w:r>
      <w:r>
        <w:rPr>
          <w:rFonts w:eastAsia="Times New Roman" w:cs="Times New Roman"/>
        </w:rPr>
        <w:t xml:space="preserve">, </w:t>
      </w:r>
      <w:r w:rsidR="007B7048">
        <w:rPr>
          <w:rFonts w:eastAsia="Times New Roman" w:cs="Times New Roman"/>
        </w:rPr>
        <w:t>especially</w:t>
      </w:r>
      <w:r>
        <w:rPr>
          <w:rFonts w:eastAsia="Times New Roman" w:cs="Times New Roman"/>
        </w:rPr>
        <w:t xml:space="preserve"> </w:t>
      </w:r>
      <w:r w:rsidR="00EC43EB">
        <w:rPr>
          <w:rFonts w:eastAsia="Times New Roman" w:cs="Times New Roman"/>
        </w:rPr>
        <w:t>in</w:t>
      </w:r>
      <w:r>
        <w:rPr>
          <w:rFonts w:eastAsia="Times New Roman" w:cs="Times New Roman"/>
        </w:rPr>
        <w:t xml:space="preserve"> health care</w:t>
      </w:r>
      <w:r w:rsidR="00EC43EB">
        <w:rPr>
          <w:rFonts w:eastAsia="Times New Roman" w:cs="Times New Roman"/>
        </w:rPr>
        <w:t>, should</w:t>
      </w:r>
      <w:r>
        <w:rPr>
          <w:rFonts w:eastAsia="Times New Roman" w:cs="Times New Roman"/>
        </w:rPr>
        <w:t xml:space="preserve"> include a gender-sensitive approach to </w:t>
      </w:r>
      <w:r w:rsidR="000F260B">
        <w:rPr>
          <w:rFonts w:eastAsia="Times New Roman" w:cs="Times New Roman"/>
        </w:rPr>
        <w:t>violence.</w:t>
      </w:r>
    </w:p>
    <w:p w14:paraId="3416F19F" w14:textId="6E8D76E2" w:rsidR="0063586F" w:rsidRPr="006E1F74" w:rsidRDefault="006E1F74" w:rsidP="007F5A24">
      <w:pPr>
        <w:pStyle w:val="Luettelokappale"/>
        <w:numPr>
          <w:ilvl w:val="1"/>
          <w:numId w:val="6"/>
        </w:numPr>
        <w:spacing w:line="240" w:lineRule="auto"/>
        <w:ind w:hanging="357"/>
        <w:jc w:val="both"/>
        <w:rPr>
          <w:rFonts w:cstheme="minorBidi"/>
          <w:szCs w:val="22"/>
        </w:rPr>
      </w:pPr>
      <w:r w:rsidRPr="006E1F74">
        <w:rPr>
          <w:rFonts w:cstheme="minorBidi"/>
          <w:szCs w:val="22"/>
        </w:rPr>
        <w:t>Civil society organisations’ expertise a</w:t>
      </w:r>
      <w:r>
        <w:rPr>
          <w:rFonts w:cstheme="minorBidi"/>
          <w:szCs w:val="22"/>
        </w:rPr>
        <w:t xml:space="preserve">nd gender-specific services targeting women should be </w:t>
      </w:r>
      <w:r w:rsidR="000F260B">
        <w:rPr>
          <w:rFonts w:cstheme="minorBidi"/>
          <w:szCs w:val="22"/>
        </w:rPr>
        <w:t>endorsed</w:t>
      </w:r>
      <w:r>
        <w:rPr>
          <w:rFonts w:cstheme="minorBidi"/>
          <w:szCs w:val="22"/>
        </w:rPr>
        <w:t xml:space="preserve"> and their resources </w:t>
      </w:r>
      <w:r w:rsidR="00B41F02">
        <w:rPr>
          <w:rFonts w:cstheme="minorBidi"/>
          <w:szCs w:val="22"/>
        </w:rPr>
        <w:t xml:space="preserve">secured </w:t>
      </w:r>
      <w:r>
        <w:rPr>
          <w:rFonts w:cstheme="minorBidi"/>
          <w:szCs w:val="22"/>
        </w:rPr>
        <w:t xml:space="preserve">when deciding on national policies and </w:t>
      </w:r>
      <w:r w:rsidR="007B7048">
        <w:rPr>
          <w:rFonts w:cstheme="minorBidi"/>
          <w:szCs w:val="22"/>
        </w:rPr>
        <w:t>measures</w:t>
      </w:r>
      <w:r>
        <w:rPr>
          <w:rFonts w:cstheme="minorBidi"/>
          <w:szCs w:val="22"/>
        </w:rPr>
        <w:t>.</w:t>
      </w:r>
    </w:p>
    <w:p w14:paraId="64824F67" w14:textId="6AB289CC" w:rsidR="00AC5213" w:rsidRPr="00FD5D1C" w:rsidRDefault="00FD5D1C" w:rsidP="007F5A24">
      <w:pPr>
        <w:pStyle w:val="Luettelokappale"/>
        <w:numPr>
          <w:ilvl w:val="0"/>
          <w:numId w:val="6"/>
        </w:numPr>
        <w:spacing w:line="240" w:lineRule="auto"/>
        <w:ind w:hanging="357"/>
        <w:jc w:val="both"/>
        <w:rPr>
          <w:rFonts w:cstheme="minorBidi"/>
          <w:szCs w:val="22"/>
        </w:rPr>
      </w:pPr>
      <w:r w:rsidRPr="00FD5D1C">
        <w:rPr>
          <w:rFonts w:eastAsia="Times New Roman" w:cs="Times New Roman"/>
        </w:rPr>
        <w:t>Measures combating violence are not co-ordinated on every level of decision-making.</w:t>
      </w:r>
    </w:p>
    <w:p w14:paraId="7FB138AA" w14:textId="3C56D998" w:rsidR="00FD5D1C" w:rsidRPr="00FD5D1C" w:rsidRDefault="00FD5D1C" w:rsidP="007F5A24">
      <w:pPr>
        <w:pStyle w:val="Luettelokappale"/>
        <w:numPr>
          <w:ilvl w:val="1"/>
          <w:numId w:val="6"/>
        </w:numPr>
        <w:spacing w:line="240" w:lineRule="auto"/>
        <w:jc w:val="both"/>
        <w:rPr>
          <w:rFonts w:cstheme="minorBidi"/>
          <w:szCs w:val="22"/>
        </w:rPr>
      </w:pPr>
      <w:r w:rsidRPr="00FD5D1C">
        <w:rPr>
          <w:rFonts w:eastAsia="Times New Roman" w:cs="Times New Roman"/>
        </w:rPr>
        <w:t>The NAPE Committee should ex</w:t>
      </w:r>
      <w:r>
        <w:rPr>
          <w:rFonts w:eastAsia="Times New Roman" w:cs="Times New Roman"/>
        </w:rPr>
        <w:t>ercise fully its powers</w:t>
      </w:r>
      <w:r w:rsidR="007B7048">
        <w:rPr>
          <w:rFonts w:eastAsia="Times New Roman" w:cs="Times New Roman"/>
        </w:rPr>
        <w:t xml:space="preserve">, </w:t>
      </w:r>
      <w:r w:rsidR="004367C6">
        <w:rPr>
          <w:rFonts w:eastAsia="Times New Roman" w:cs="Times New Roman"/>
        </w:rPr>
        <w:t xml:space="preserve">including assessment of national policies and </w:t>
      </w:r>
      <w:r w:rsidR="007B7048">
        <w:rPr>
          <w:rFonts w:eastAsia="Times New Roman" w:cs="Times New Roman"/>
        </w:rPr>
        <w:t>data collection and research.</w:t>
      </w:r>
    </w:p>
    <w:p w14:paraId="51969B45" w14:textId="77777777" w:rsidR="000C2DF9" w:rsidRPr="000C2DF9" w:rsidRDefault="007B7048" w:rsidP="000C2DF9">
      <w:pPr>
        <w:pStyle w:val="Luettelokappale"/>
        <w:numPr>
          <w:ilvl w:val="1"/>
          <w:numId w:val="6"/>
        </w:numPr>
        <w:spacing w:line="240" w:lineRule="auto"/>
        <w:jc w:val="both"/>
        <w:rPr>
          <w:rFonts w:cstheme="minorBidi"/>
          <w:szCs w:val="22"/>
        </w:rPr>
      </w:pPr>
      <w:r w:rsidRPr="007B7048">
        <w:rPr>
          <w:rFonts w:eastAsia="Times New Roman" w:cs="Times New Roman"/>
        </w:rPr>
        <w:t>The wellbeing services counties and municipalities should follow the national guidelines on prev</w:t>
      </w:r>
      <w:r>
        <w:rPr>
          <w:rFonts w:eastAsia="Times New Roman" w:cs="Times New Roman"/>
        </w:rPr>
        <w:t>enting close relationship violence.</w:t>
      </w:r>
    </w:p>
    <w:p w14:paraId="6A400DC4" w14:textId="12598ED1" w:rsidR="000C2DF9" w:rsidRPr="000C2DF9" w:rsidRDefault="000C2DF9" w:rsidP="000C2DF9">
      <w:pPr>
        <w:pStyle w:val="Luettelokappale"/>
        <w:numPr>
          <w:ilvl w:val="1"/>
          <w:numId w:val="6"/>
        </w:numPr>
        <w:spacing w:line="240" w:lineRule="auto"/>
        <w:jc w:val="both"/>
        <w:rPr>
          <w:rFonts w:cstheme="minorBidi"/>
          <w:szCs w:val="22"/>
        </w:rPr>
      </w:pPr>
      <w:r>
        <w:t xml:space="preserve">There should be legally binding provisions </w:t>
      </w:r>
      <w:r w:rsidRPr="00BD68B7">
        <w:t xml:space="preserve">for municipalities and wellbeing services counties </w:t>
      </w:r>
      <w:r>
        <w:t xml:space="preserve">to ensure their </w:t>
      </w:r>
      <w:r w:rsidRPr="00BD68B7">
        <w:t>anti-violence work</w:t>
      </w:r>
      <w:r>
        <w:t>.</w:t>
      </w:r>
    </w:p>
    <w:p w14:paraId="1F729559" w14:textId="44855B36" w:rsidR="00ED4CA9" w:rsidRDefault="00ED4CA9" w:rsidP="00ED4CA9">
      <w:pPr>
        <w:pStyle w:val="Luettelokappale"/>
        <w:numPr>
          <w:ilvl w:val="0"/>
          <w:numId w:val="6"/>
        </w:numPr>
        <w:spacing w:line="240" w:lineRule="auto"/>
        <w:jc w:val="both"/>
      </w:pPr>
      <w:r>
        <w:t xml:space="preserve">Finland, </w:t>
      </w:r>
      <w:r>
        <w:t xml:space="preserve">regardless its know-how </w:t>
      </w:r>
      <w:r>
        <w:t xml:space="preserve">in gender budgeting, </w:t>
      </w:r>
      <w:r>
        <w:t>has not engaged</w:t>
      </w:r>
      <w:r>
        <w:t xml:space="preserve"> in the appropriate budgeting of comprehensive measures to prevent and combat</w:t>
      </w:r>
      <w:r>
        <w:t xml:space="preserve"> </w:t>
      </w:r>
      <w:r>
        <w:t>violence against women and domestic violence</w:t>
      </w:r>
      <w:r>
        <w:t>.</w:t>
      </w:r>
    </w:p>
    <w:p w14:paraId="21971333" w14:textId="0F0D9177" w:rsidR="00B05E26" w:rsidRPr="00243AE3" w:rsidRDefault="00122F1F" w:rsidP="00243AE3">
      <w:pPr>
        <w:pStyle w:val="Luettelokappale"/>
        <w:numPr>
          <w:ilvl w:val="1"/>
          <w:numId w:val="6"/>
        </w:numPr>
        <w:spacing w:line="240" w:lineRule="auto"/>
        <w:jc w:val="both"/>
      </w:pPr>
      <w:r w:rsidRPr="00ED4CA9">
        <w:t>State</w:t>
      </w:r>
      <w:r w:rsidRPr="00122F1F">
        <w:t xml:space="preserve"> Budget</w:t>
      </w:r>
      <w:r w:rsidR="00243AE3">
        <w:t>,</w:t>
      </w:r>
      <w:r w:rsidRPr="00122F1F">
        <w:t xml:space="preserve"> </w:t>
      </w:r>
      <w:r w:rsidR="004367C6">
        <w:t xml:space="preserve">and </w:t>
      </w:r>
      <w:r w:rsidRPr="00122F1F">
        <w:t xml:space="preserve">especially </w:t>
      </w:r>
      <w:r>
        <w:t>in current times of economic austerity</w:t>
      </w:r>
      <w:r w:rsidR="00C95D72">
        <w:t>,</w:t>
      </w:r>
      <w:r w:rsidR="00243AE3">
        <w:t xml:space="preserve"> </w:t>
      </w:r>
      <w:r w:rsidR="00ED4CA9">
        <w:t>the impact of cuts on public expenditure</w:t>
      </w:r>
      <w:r w:rsidR="00243AE3">
        <w:t>,</w:t>
      </w:r>
      <w:r w:rsidR="00ED4CA9">
        <w:t xml:space="preserve"> should be </w:t>
      </w:r>
      <w:r w:rsidR="00243AE3">
        <w:t xml:space="preserve">repeatedly </w:t>
      </w:r>
      <w:r w:rsidR="00ED4CA9">
        <w:t xml:space="preserve">assessed </w:t>
      </w:r>
      <w:r w:rsidR="00243AE3">
        <w:t>from the point of view of intersectionality</w:t>
      </w:r>
      <w:r w:rsidR="00C95D72">
        <w:t>,</w:t>
      </w:r>
      <w:r w:rsidR="00243AE3">
        <w:t xml:space="preserve"> gender equality</w:t>
      </w:r>
      <w:r w:rsidR="00C95D72">
        <w:t xml:space="preserve"> and prevention of violence</w:t>
      </w:r>
      <w:r w:rsidR="00243AE3">
        <w:t>.</w:t>
      </w:r>
      <w:r w:rsidR="00B05E26" w:rsidRPr="00243AE3">
        <w:rPr>
          <w:rFonts w:eastAsia="Times New Roman" w:cs="Times New Roman"/>
          <w:highlight w:val="yellow"/>
        </w:rPr>
        <w:br w:type="page"/>
      </w:r>
    </w:p>
    <w:sdt>
      <w:sdtPr>
        <w:rPr>
          <w:rFonts w:ascii="Source Sans Pro" w:eastAsiaTheme="minorHAnsi" w:hAnsi="Source Sans Pro" w:cstheme="minorBidi"/>
          <w:color w:val="auto"/>
          <w:sz w:val="22"/>
          <w:szCs w:val="22"/>
          <w:lang w:val="en-GB" w:eastAsia="en-US"/>
        </w:rPr>
        <w:id w:val="-42055519"/>
        <w:docPartObj>
          <w:docPartGallery w:val="Table of Contents"/>
          <w:docPartUnique/>
        </w:docPartObj>
      </w:sdtPr>
      <w:sdtEndPr>
        <w:rPr>
          <w:b/>
          <w:bCs/>
          <w:sz w:val="24"/>
        </w:rPr>
      </w:sdtEndPr>
      <w:sdtContent>
        <w:p w14:paraId="346C4055" w14:textId="2F8E8910" w:rsidR="00693FCF" w:rsidRPr="00BD68B7" w:rsidRDefault="00693FCF">
          <w:pPr>
            <w:pStyle w:val="Sisllysluettelonotsikko"/>
            <w:rPr>
              <w:lang w:val="en-GB"/>
            </w:rPr>
          </w:pPr>
          <w:r w:rsidRPr="00BD68B7">
            <w:rPr>
              <w:lang w:val="en-GB"/>
            </w:rPr>
            <w:t>Table of content</w:t>
          </w:r>
        </w:p>
        <w:p w14:paraId="2B1CB037" w14:textId="0EAC1013" w:rsidR="00481DAC" w:rsidRDefault="00693FCF">
          <w:pPr>
            <w:pStyle w:val="Sisluet1"/>
            <w:tabs>
              <w:tab w:val="right" w:leader="dot" w:pos="10196"/>
            </w:tabs>
            <w:rPr>
              <w:rFonts w:asciiTheme="minorHAnsi" w:eastAsiaTheme="minorEastAsia" w:hAnsiTheme="minorHAnsi"/>
              <w:noProof/>
              <w:sz w:val="22"/>
              <w:lang w:val="fi-FI" w:eastAsia="fi-FI"/>
            </w:rPr>
          </w:pPr>
          <w:r w:rsidRPr="00BD68B7">
            <w:fldChar w:fldCharType="begin"/>
          </w:r>
          <w:r w:rsidRPr="00BD68B7">
            <w:instrText xml:space="preserve"> TOC \o "1-3" \h \z \u </w:instrText>
          </w:r>
          <w:r w:rsidRPr="00BD68B7">
            <w:fldChar w:fldCharType="separate"/>
          </w:r>
          <w:hyperlink w:anchor="_Toc154142274" w:history="1">
            <w:r w:rsidR="00481DAC" w:rsidRPr="00ED2803">
              <w:rPr>
                <w:rStyle w:val="Hyperlinkki"/>
                <w:noProof/>
              </w:rPr>
              <w:t>Part I: Changes in comprehensive and co-ordinated policies, funding and data collection in the area of violence against women and domestic violence</w:t>
            </w:r>
            <w:r w:rsidR="00481DAC">
              <w:rPr>
                <w:noProof/>
                <w:webHidden/>
              </w:rPr>
              <w:tab/>
            </w:r>
            <w:r w:rsidR="00481DAC">
              <w:rPr>
                <w:noProof/>
                <w:webHidden/>
              </w:rPr>
              <w:fldChar w:fldCharType="begin"/>
            </w:r>
            <w:r w:rsidR="00481DAC">
              <w:rPr>
                <w:noProof/>
                <w:webHidden/>
              </w:rPr>
              <w:instrText xml:space="preserve"> PAGEREF _Toc154142274 \h </w:instrText>
            </w:r>
            <w:r w:rsidR="00481DAC">
              <w:rPr>
                <w:noProof/>
                <w:webHidden/>
              </w:rPr>
            </w:r>
            <w:r w:rsidR="00481DAC">
              <w:rPr>
                <w:noProof/>
                <w:webHidden/>
              </w:rPr>
              <w:fldChar w:fldCharType="separate"/>
            </w:r>
            <w:r w:rsidR="000C61A9">
              <w:rPr>
                <w:noProof/>
                <w:webHidden/>
              </w:rPr>
              <w:t>4</w:t>
            </w:r>
            <w:r w:rsidR="00481DAC">
              <w:rPr>
                <w:noProof/>
                <w:webHidden/>
              </w:rPr>
              <w:fldChar w:fldCharType="end"/>
            </w:r>
          </w:hyperlink>
        </w:p>
        <w:p w14:paraId="06A0FAC9" w14:textId="7A445455"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75" w:history="1">
            <w:r w:rsidRPr="00ED2803">
              <w:rPr>
                <w:rStyle w:val="Hyperlinkki"/>
                <w:noProof/>
              </w:rPr>
              <w:t>Article 7: Comprehensive and co-ordinated policies</w:t>
            </w:r>
            <w:r>
              <w:rPr>
                <w:noProof/>
                <w:webHidden/>
              </w:rPr>
              <w:tab/>
            </w:r>
            <w:r>
              <w:rPr>
                <w:noProof/>
                <w:webHidden/>
              </w:rPr>
              <w:fldChar w:fldCharType="begin"/>
            </w:r>
            <w:r>
              <w:rPr>
                <w:noProof/>
                <w:webHidden/>
              </w:rPr>
              <w:instrText xml:space="preserve"> PAGEREF _Toc154142275 \h </w:instrText>
            </w:r>
            <w:r>
              <w:rPr>
                <w:noProof/>
                <w:webHidden/>
              </w:rPr>
            </w:r>
            <w:r>
              <w:rPr>
                <w:noProof/>
                <w:webHidden/>
              </w:rPr>
              <w:fldChar w:fldCharType="separate"/>
            </w:r>
            <w:r w:rsidR="000C61A9">
              <w:rPr>
                <w:noProof/>
                <w:webHidden/>
              </w:rPr>
              <w:t>4</w:t>
            </w:r>
            <w:r>
              <w:rPr>
                <w:noProof/>
                <w:webHidden/>
              </w:rPr>
              <w:fldChar w:fldCharType="end"/>
            </w:r>
          </w:hyperlink>
        </w:p>
        <w:p w14:paraId="68C1AB76" w14:textId="63948F33"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76" w:history="1">
            <w:r w:rsidRPr="00ED2803">
              <w:rPr>
                <w:rStyle w:val="Hyperlinkki"/>
                <w:noProof/>
              </w:rPr>
              <w:t>Article 8: Funding</w:t>
            </w:r>
            <w:r>
              <w:rPr>
                <w:noProof/>
                <w:webHidden/>
              </w:rPr>
              <w:tab/>
            </w:r>
            <w:r>
              <w:rPr>
                <w:noProof/>
                <w:webHidden/>
              </w:rPr>
              <w:fldChar w:fldCharType="begin"/>
            </w:r>
            <w:r>
              <w:rPr>
                <w:noProof/>
                <w:webHidden/>
              </w:rPr>
              <w:instrText xml:space="preserve"> PAGEREF _Toc154142276 \h </w:instrText>
            </w:r>
            <w:r>
              <w:rPr>
                <w:noProof/>
                <w:webHidden/>
              </w:rPr>
            </w:r>
            <w:r>
              <w:rPr>
                <w:noProof/>
                <w:webHidden/>
              </w:rPr>
              <w:fldChar w:fldCharType="separate"/>
            </w:r>
            <w:r w:rsidR="000C61A9">
              <w:rPr>
                <w:noProof/>
                <w:webHidden/>
              </w:rPr>
              <w:t>7</w:t>
            </w:r>
            <w:r>
              <w:rPr>
                <w:noProof/>
                <w:webHidden/>
              </w:rPr>
              <w:fldChar w:fldCharType="end"/>
            </w:r>
          </w:hyperlink>
        </w:p>
        <w:p w14:paraId="68DBC1C7" w14:textId="0F7CDB04"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77" w:history="1">
            <w:r w:rsidRPr="00ED2803">
              <w:rPr>
                <w:rStyle w:val="Hyperlinkki"/>
                <w:noProof/>
              </w:rPr>
              <w:t>Article 11: Data collection and research</w:t>
            </w:r>
            <w:r>
              <w:rPr>
                <w:noProof/>
                <w:webHidden/>
              </w:rPr>
              <w:tab/>
            </w:r>
            <w:r>
              <w:rPr>
                <w:noProof/>
                <w:webHidden/>
              </w:rPr>
              <w:fldChar w:fldCharType="begin"/>
            </w:r>
            <w:r>
              <w:rPr>
                <w:noProof/>
                <w:webHidden/>
              </w:rPr>
              <w:instrText xml:space="preserve"> PAGEREF _Toc154142277 \h </w:instrText>
            </w:r>
            <w:r>
              <w:rPr>
                <w:noProof/>
                <w:webHidden/>
              </w:rPr>
            </w:r>
            <w:r>
              <w:rPr>
                <w:noProof/>
                <w:webHidden/>
              </w:rPr>
              <w:fldChar w:fldCharType="separate"/>
            </w:r>
            <w:r w:rsidR="000C61A9">
              <w:rPr>
                <w:noProof/>
                <w:webHidden/>
              </w:rPr>
              <w:t>8</w:t>
            </w:r>
            <w:r>
              <w:rPr>
                <w:noProof/>
                <w:webHidden/>
              </w:rPr>
              <w:fldChar w:fldCharType="end"/>
            </w:r>
          </w:hyperlink>
        </w:p>
        <w:p w14:paraId="51A5EF6B" w14:textId="23D8ED13" w:rsidR="00481DAC" w:rsidRDefault="00481DAC">
          <w:pPr>
            <w:pStyle w:val="Sisluet1"/>
            <w:tabs>
              <w:tab w:val="right" w:leader="dot" w:pos="10196"/>
            </w:tabs>
            <w:rPr>
              <w:rFonts w:asciiTheme="minorHAnsi" w:eastAsiaTheme="minorEastAsia" w:hAnsiTheme="minorHAnsi"/>
              <w:noProof/>
              <w:sz w:val="22"/>
              <w:lang w:val="fi-FI" w:eastAsia="fi-FI"/>
            </w:rPr>
          </w:pPr>
          <w:hyperlink w:anchor="_Toc154142278" w:history="1">
            <w:r w:rsidRPr="00ED2803">
              <w:rPr>
                <w:rStyle w:val="Hyperlinkki"/>
                <w:noProof/>
              </w:rPr>
              <w:t>Part II: Information on the implementation of selected provisions in priority areas in the field of prevention, protection and prosecution</w:t>
            </w:r>
            <w:r>
              <w:rPr>
                <w:noProof/>
                <w:webHidden/>
              </w:rPr>
              <w:tab/>
            </w:r>
            <w:r>
              <w:rPr>
                <w:noProof/>
                <w:webHidden/>
              </w:rPr>
              <w:fldChar w:fldCharType="begin"/>
            </w:r>
            <w:r>
              <w:rPr>
                <w:noProof/>
                <w:webHidden/>
              </w:rPr>
              <w:instrText xml:space="preserve"> PAGEREF _Toc154142278 \h </w:instrText>
            </w:r>
            <w:r>
              <w:rPr>
                <w:noProof/>
                <w:webHidden/>
              </w:rPr>
            </w:r>
            <w:r>
              <w:rPr>
                <w:noProof/>
                <w:webHidden/>
              </w:rPr>
              <w:fldChar w:fldCharType="separate"/>
            </w:r>
            <w:r w:rsidR="000C61A9">
              <w:rPr>
                <w:noProof/>
                <w:webHidden/>
              </w:rPr>
              <w:t>9</w:t>
            </w:r>
            <w:r>
              <w:rPr>
                <w:noProof/>
                <w:webHidden/>
              </w:rPr>
              <w:fldChar w:fldCharType="end"/>
            </w:r>
          </w:hyperlink>
        </w:p>
        <w:p w14:paraId="65DECCF0" w14:textId="6146C435"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79" w:history="1">
            <w:r w:rsidRPr="00ED2803">
              <w:rPr>
                <w:rStyle w:val="Hyperlinkki"/>
                <w:noProof/>
              </w:rPr>
              <w:t>Article 12: General obligations</w:t>
            </w:r>
            <w:r>
              <w:rPr>
                <w:noProof/>
                <w:webHidden/>
              </w:rPr>
              <w:tab/>
            </w:r>
            <w:r>
              <w:rPr>
                <w:noProof/>
                <w:webHidden/>
              </w:rPr>
              <w:fldChar w:fldCharType="begin"/>
            </w:r>
            <w:r>
              <w:rPr>
                <w:noProof/>
                <w:webHidden/>
              </w:rPr>
              <w:instrText xml:space="preserve"> PAGEREF _Toc154142279 \h </w:instrText>
            </w:r>
            <w:r>
              <w:rPr>
                <w:noProof/>
                <w:webHidden/>
              </w:rPr>
            </w:r>
            <w:r>
              <w:rPr>
                <w:noProof/>
                <w:webHidden/>
              </w:rPr>
              <w:fldChar w:fldCharType="separate"/>
            </w:r>
            <w:r w:rsidR="000C61A9">
              <w:rPr>
                <w:noProof/>
                <w:webHidden/>
              </w:rPr>
              <w:t>9</w:t>
            </w:r>
            <w:r>
              <w:rPr>
                <w:noProof/>
                <w:webHidden/>
              </w:rPr>
              <w:fldChar w:fldCharType="end"/>
            </w:r>
          </w:hyperlink>
        </w:p>
        <w:p w14:paraId="2F68F0B3" w14:textId="63126CBE"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0" w:history="1">
            <w:r w:rsidRPr="00ED2803">
              <w:rPr>
                <w:rStyle w:val="Hyperlinkki"/>
                <w:noProof/>
              </w:rPr>
              <w:t>Article 14: Education</w:t>
            </w:r>
            <w:r>
              <w:rPr>
                <w:noProof/>
                <w:webHidden/>
              </w:rPr>
              <w:tab/>
            </w:r>
            <w:r>
              <w:rPr>
                <w:noProof/>
                <w:webHidden/>
              </w:rPr>
              <w:fldChar w:fldCharType="begin"/>
            </w:r>
            <w:r>
              <w:rPr>
                <w:noProof/>
                <w:webHidden/>
              </w:rPr>
              <w:instrText xml:space="preserve"> PAGEREF _Toc154142280 \h </w:instrText>
            </w:r>
            <w:r>
              <w:rPr>
                <w:noProof/>
                <w:webHidden/>
              </w:rPr>
            </w:r>
            <w:r>
              <w:rPr>
                <w:noProof/>
                <w:webHidden/>
              </w:rPr>
              <w:fldChar w:fldCharType="separate"/>
            </w:r>
            <w:r w:rsidR="000C61A9">
              <w:rPr>
                <w:noProof/>
                <w:webHidden/>
              </w:rPr>
              <w:t>10</w:t>
            </w:r>
            <w:r>
              <w:rPr>
                <w:noProof/>
                <w:webHidden/>
              </w:rPr>
              <w:fldChar w:fldCharType="end"/>
            </w:r>
          </w:hyperlink>
        </w:p>
        <w:p w14:paraId="67E6D0E0" w14:textId="152A67F5"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1" w:history="1">
            <w:r w:rsidRPr="00ED2803">
              <w:rPr>
                <w:rStyle w:val="Hyperlinkki"/>
                <w:noProof/>
              </w:rPr>
              <w:t>Article 15: Training of professionals</w:t>
            </w:r>
            <w:r>
              <w:rPr>
                <w:noProof/>
                <w:webHidden/>
              </w:rPr>
              <w:tab/>
            </w:r>
            <w:r>
              <w:rPr>
                <w:noProof/>
                <w:webHidden/>
              </w:rPr>
              <w:fldChar w:fldCharType="begin"/>
            </w:r>
            <w:r>
              <w:rPr>
                <w:noProof/>
                <w:webHidden/>
              </w:rPr>
              <w:instrText xml:space="preserve"> PAGEREF _Toc154142281 \h </w:instrText>
            </w:r>
            <w:r>
              <w:rPr>
                <w:noProof/>
                <w:webHidden/>
              </w:rPr>
            </w:r>
            <w:r>
              <w:rPr>
                <w:noProof/>
                <w:webHidden/>
              </w:rPr>
              <w:fldChar w:fldCharType="separate"/>
            </w:r>
            <w:r w:rsidR="000C61A9">
              <w:rPr>
                <w:noProof/>
                <w:webHidden/>
              </w:rPr>
              <w:t>11</w:t>
            </w:r>
            <w:r>
              <w:rPr>
                <w:noProof/>
                <w:webHidden/>
              </w:rPr>
              <w:fldChar w:fldCharType="end"/>
            </w:r>
          </w:hyperlink>
        </w:p>
        <w:p w14:paraId="1CE81704" w14:textId="17865CF6"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2" w:history="1">
            <w:r w:rsidRPr="00ED2803">
              <w:rPr>
                <w:rStyle w:val="Hyperlinkki"/>
                <w:noProof/>
              </w:rPr>
              <w:t>Article 16: Preventive intervention and treatment programmes</w:t>
            </w:r>
            <w:r>
              <w:rPr>
                <w:noProof/>
                <w:webHidden/>
              </w:rPr>
              <w:tab/>
            </w:r>
            <w:r>
              <w:rPr>
                <w:noProof/>
                <w:webHidden/>
              </w:rPr>
              <w:fldChar w:fldCharType="begin"/>
            </w:r>
            <w:r>
              <w:rPr>
                <w:noProof/>
                <w:webHidden/>
              </w:rPr>
              <w:instrText xml:space="preserve"> PAGEREF _Toc154142282 \h </w:instrText>
            </w:r>
            <w:r>
              <w:rPr>
                <w:noProof/>
                <w:webHidden/>
              </w:rPr>
            </w:r>
            <w:r>
              <w:rPr>
                <w:noProof/>
                <w:webHidden/>
              </w:rPr>
              <w:fldChar w:fldCharType="separate"/>
            </w:r>
            <w:r w:rsidR="000C61A9">
              <w:rPr>
                <w:noProof/>
                <w:webHidden/>
              </w:rPr>
              <w:t>12</w:t>
            </w:r>
            <w:r>
              <w:rPr>
                <w:noProof/>
                <w:webHidden/>
              </w:rPr>
              <w:fldChar w:fldCharType="end"/>
            </w:r>
          </w:hyperlink>
        </w:p>
        <w:p w14:paraId="0EC7AEAD" w14:textId="27E725E6"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3" w:history="1">
            <w:r w:rsidRPr="00ED2803">
              <w:rPr>
                <w:rStyle w:val="Hyperlinkki"/>
                <w:noProof/>
              </w:rPr>
              <w:t>Article 18: General obligations</w:t>
            </w:r>
            <w:r>
              <w:rPr>
                <w:noProof/>
                <w:webHidden/>
              </w:rPr>
              <w:tab/>
            </w:r>
            <w:r>
              <w:rPr>
                <w:noProof/>
                <w:webHidden/>
              </w:rPr>
              <w:fldChar w:fldCharType="begin"/>
            </w:r>
            <w:r>
              <w:rPr>
                <w:noProof/>
                <w:webHidden/>
              </w:rPr>
              <w:instrText xml:space="preserve"> PAGEREF _Toc154142283 \h </w:instrText>
            </w:r>
            <w:r>
              <w:rPr>
                <w:noProof/>
                <w:webHidden/>
              </w:rPr>
            </w:r>
            <w:r>
              <w:rPr>
                <w:noProof/>
                <w:webHidden/>
              </w:rPr>
              <w:fldChar w:fldCharType="separate"/>
            </w:r>
            <w:r w:rsidR="000C61A9">
              <w:rPr>
                <w:noProof/>
                <w:webHidden/>
              </w:rPr>
              <w:t>12</w:t>
            </w:r>
            <w:r>
              <w:rPr>
                <w:noProof/>
                <w:webHidden/>
              </w:rPr>
              <w:fldChar w:fldCharType="end"/>
            </w:r>
          </w:hyperlink>
        </w:p>
        <w:p w14:paraId="1D84DB7F" w14:textId="1450CEB3"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4" w:history="1">
            <w:r w:rsidRPr="00ED2803">
              <w:rPr>
                <w:rStyle w:val="Hyperlinkki"/>
                <w:noProof/>
              </w:rPr>
              <w:t>Article 20: General support services</w:t>
            </w:r>
            <w:r>
              <w:rPr>
                <w:noProof/>
                <w:webHidden/>
              </w:rPr>
              <w:tab/>
            </w:r>
            <w:r>
              <w:rPr>
                <w:noProof/>
                <w:webHidden/>
              </w:rPr>
              <w:fldChar w:fldCharType="begin"/>
            </w:r>
            <w:r>
              <w:rPr>
                <w:noProof/>
                <w:webHidden/>
              </w:rPr>
              <w:instrText xml:space="preserve"> PAGEREF _Toc154142284 \h </w:instrText>
            </w:r>
            <w:r>
              <w:rPr>
                <w:noProof/>
                <w:webHidden/>
              </w:rPr>
            </w:r>
            <w:r>
              <w:rPr>
                <w:noProof/>
                <w:webHidden/>
              </w:rPr>
              <w:fldChar w:fldCharType="separate"/>
            </w:r>
            <w:r w:rsidR="000C61A9">
              <w:rPr>
                <w:noProof/>
                <w:webHidden/>
              </w:rPr>
              <w:t>13</w:t>
            </w:r>
            <w:r>
              <w:rPr>
                <w:noProof/>
                <w:webHidden/>
              </w:rPr>
              <w:fldChar w:fldCharType="end"/>
            </w:r>
          </w:hyperlink>
        </w:p>
        <w:p w14:paraId="0CE556E7" w14:textId="23019CE2"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5" w:history="1">
            <w:r w:rsidRPr="00ED2803">
              <w:rPr>
                <w:rStyle w:val="Hyperlinkki"/>
                <w:noProof/>
              </w:rPr>
              <w:t>Questions specific to the public health sector:</w:t>
            </w:r>
            <w:r>
              <w:rPr>
                <w:noProof/>
                <w:webHidden/>
              </w:rPr>
              <w:tab/>
            </w:r>
            <w:r>
              <w:rPr>
                <w:noProof/>
                <w:webHidden/>
              </w:rPr>
              <w:fldChar w:fldCharType="begin"/>
            </w:r>
            <w:r>
              <w:rPr>
                <w:noProof/>
                <w:webHidden/>
              </w:rPr>
              <w:instrText xml:space="preserve"> PAGEREF _Toc154142285 \h </w:instrText>
            </w:r>
            <w:r>
              <w:rPr>
                <w:noProof/>
                <w:webHidden/>
              </w:rPr>
            </w:r>
            <w:r>
              <w:rPr>
                <w:noProof/>
                <w:webHidden/>
              </w:rPr>
              <w:fldChar w:fldCharType="separate"/>
            </w:r>
            <w:r w:rsidR="000C61A9">
              <w:rPr>
                <w:noProof/>
                <w:webHidden/>
              </w:rPr>
              <w:t>14</w:t>
            </w:r>
            <w:r>
              <w:rPr>
                <w:noProof/>
                <w:webHidden/>
              </w:rPr>
              <w:fldChar w:fldCharType="end"/>
            </w:r>
          </w:hyperlink>
        </w:p>
        <w:p w14:paraId="5543A57F" w14:textId="786181A3"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6" w:history="1">
            <w:r w:rsidRPr="00ED2803">
              <w:rPr>
                <w:rStyle w:val="Hyperlinkki"/>
                <w:noProof/>
              </w:rPr>
              <w:t>Article 22: Specialist support services</w:t>
            </w:r>
            <w:r>
              <w:rPr>
                <w:noProof/>
                <w:webHidden/>
              </w:rPr>
              <w:tab/>
            </w:r>
            <w:r>
              <w:rPr>
                <w:noProof/>
                <w:webHidden/>
              </w:rPr>
              <w:fldChar w:fldCharType="begin"/>
            </w:r>
            <w:r>
              <w:rPr>
                <w:noProof/>
                <w:webHidden/>
              </w:rPr>
              <w:instrText xml:space="preserve"> PAGEREF _Toc154142286 \h </w:instrText>
            </w:r>
            <w:r>
              <w:rPr>
                <w:noProof/>
                <w:webHidden/>
              </w:rPr>
            </w:r>
            <w:r>
              <w:rPr>
                <w:noProof/>
                <w:webHidden/>
              </w:rPr>
              <w:fldChar w:fldCharType="separate"/>
            </w:r>
            <w:r w:rsidR="000C61A9">
              <w:rPr>
                <w:noProof/>
                <w:webHidden/>
              </w:rPr>
              <w:t>14</w:t>
            </w:r>
            <w:r>
              <w:rPr>
                <w:noProof/>
                <w:webHidden/>
              </w:rPr>
              <w:fldChar w:fldCharType="end"/>
            </w:r>
          </w:hyperlink>
        </w:p>
        <w:p w14:paraId="1F30E137" w14:textId="44500C65"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7" w:history="1">
            <w:r w:rsidRPr="00ED2803">
              <w:rPr>
                <w:rStyle w:val="Hyperlinkki"/>
                <w:noProof/>
              </w:rPr>
              <w:t>Article 25: Support to victims of sexual violence</w:t>
            </w:r>
            <w:r>
              <w:rPr>
                <w:noProof/>
                <w:webHidden/>
              </w:rPr>
              <w:tab/>
            </w:r>
            <w:r>
              <w:rPr>
                <w:noProof/>
                <w:webHidden/>
              </w:rPr>
              <w:fldChar w:fldCharType="begin"/>
            </w:r>
            <w:r>
              <w:rPr>
                <w:noProof/>
                <w:webHidden/>
              </w:rPr>
              <w:instrText xml:space="preserve"> PAGEREF _Toc154142287 \h </w:instrText>
            </w:r>
            <w:r>
              <w:rPr>
                <w:noProof/>
                <w:webHidden/>
              </w:rPr>
            </w:r>
            <w:r>
              <w:rPr>
                <w:noProof/>
                <w:webHidden/>
              </w:rPr>
              <w:fldChar w:fldCharType="separate"/>
            </w:r>
            <w:r w:rsidR="000C61A9">
              <w:rPr>
                <w:noProof/>
                <w:webHidden/>
              </w:rPr>
              <w:t>15</w:t>
            </w:r>
            <w:r>
              <w:rPr>
                <w:noProof/>
                <w:webHidden/>
              </w:rPr>
              <w:fldChar w:fldCharType="end"/>
            </w:r>
          </w:hyperlink>
        </w:p>
        <w:p w14:paraId="313CB9EC" w14:textId="4CFE78D8"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8" w:history="1">
            <w:r w:rsidRPr="00ED2803">
              <w:rPr>
                <w:rStyle w:val="Hyperlinkki"/>
                <w:noProof/>
              </w:rPr>
              <w:t>Article 31: Custody, visitation rights and safety</w:t>
            </w:r>
            <w:r>
              <w:rPr>
                <w:noProof/>
                <w:webHidden/>
              </w:rPr>
              <w:tab/>
            </w:r>
            <w:r>
              <w:rPr>
                <w:noProof/>
                <w:webHidden/>
              </w:rPr>
              <w:fldChar w:fldCharType="begin"/>
            </w:r>
            <w:r>
              <w:rPr>
                <w:noProof/>
                <w:webHidden/>
              </w:rPr>
              <w:instrText xml:space="preserve"> PAGEREF _Toc154142288 \h </w:instrText>
            </w:r>
            <w:r>
              <w:rPr>
                <w:noProof/>
                <w:webHidden/>
              </w:rPr>
            </w:r>
            <w:r>
              <w:rPr>
                <w:noProof/>
                <w:webHidden/>
              </w:rPr>
              <w:fldChar w:fldCharType="separate"/>
            </w:r>
            <w:r w:rsidR="000C61A9">
              <w:rPr>
                <w:noProof/>
                <w:webHidden/>
              </w:rPr>
              <w:t>15</w:t>
            </w:r>
            <w:r>
              <w:rPr>
                <w:noProof/>
                <w:webHidden/>
              </w:rPr>
              <w:fldChar w:fldCharType="end"/>
            </w:r>
          </w:hyperlink>
        </w:p>
        <w:p w14:paraId="01B55C65" w14:textId="0A5162DA"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89" w:history="1">
            <w:r w:rsidRPr="00ED2803">
              <w:rPr>
                <w:rStyle w:val="Hyperlinkki"/>
                <w:noProof/>
              </w:rPr>
              <w:t>Article 48: Prohibition of mandatory alternative dispute resolution processes or sentencing</w:t>
            </w:r>
            <w:r>
              <w:rPr>
                <w:noProof/>
                <w:webHidden/>
              </w:rPr>
              <w:tab/>
            </w:r>
            <w:r>
              <w:rPr>
                <w:noProof/>
                <w:webHidden/>
              </w:rPr>
              <w:fldChar w:fldCharType="begin"/>
            </w:r>
            <w:r>
              <w:rPr>
                <w:noProof/>
                <w:webHidden/>
              </w:rPr>
              <w:instrText xml:space="preserve"> PAGEREF _Toc154142289 \h </w:instrText>
            </w:r>
            <w:r>
              <w:rPr>
                <w:noProof/>
                <w:webHidden/>
              </w:rPr>
            </w:r>
            <w:r>
              <w:rPr>
                <w:noProof/>
                <w:webHidden/>
              </w:rPr>
              <w:fldChar w:fldCharType="separate"/>
            </w:r>
            <w:r w:rsidR="000C61A9">
              <w:rPr>
                <w:noProof/>
                <w:webHidden/>
              </w:rPr>
              <w:t>16</w:t>
            </w:r>
            <w:r>
              <w:rPr>
                <w:noProof/>
                <w:webHidden/>
              </w:rPr>
              <w:fldChar w:fldCharType="end"/>
            </w:r>
          </w:hyperlink>
        </w:p>
        <w:p w14:paraId="25A63103" w14:textId="020CA4B9"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90" w:history="1">
            <w:r w:rsidRPr="00ED2803">
              <w:rPr>
                <w:rStyle w:val="Hyperlinkki"/>
                <w:noProof/>
              </w:rPr>
              <w:t>Articles 49 and 50: General obligations and immediate response, prevention, and protection</w:t>
            </w:r>
            <w:r>
              <w:rPr>
                <w:noProof/>
                <w:webHidden/>
              </w:rPr>
              <w:tab/>
            </w:r>
            <w:r>
              <w:rPr>
                <w:noProof/>
                <w:webHidden/>
              </w:rPr>
              <w:fldChar w:fldCharType="begin"/>
            </w:r>
            <w:r>
              <w:rPr>
                <w:noProof/>
                <w:webHidden/>
              </w:rPr>
              <w:instrText xml:space="preserve"> PAGEREF _Toc154142290 \h </w:instrText>
            </w:r>
            <w:r>
              <w:rPr>
                <w:noProof/>
                <w:webHidden/>
              </w:rPr>
            </w:r>
            <w:r>
              <w:rPr>
                <w:noProof/>
                <w:webHidden/>
              </w:rPr>
              <w:fldChar w:fldCharType="separate"/>
            </w:r>
            <w:r w:rsidR="000C61A9">
              <w:rPr>
                <w:noProof/>
                <w:webHidden/>
              </w:rPr>
              <w:t>17</w:t>
            </w:r>
            <w:r>
              <w:rPr>
                <w:noProof/>
                <w:webHidden/>
              </w:rPr>
              <w:fldChar w:fldCharType="end"/>
            </w:r>
          </w:hyperlink>
        </w:p>
        <w:p w14:paraId="73B2FAE8" w14:textId="46468698" w:rsidR="00481DAC" w:rsidRDefault="00481DAC">
          <w:pPr>
            <w:pStyle w:val="Sisluet2"/>
            <w:tabs>
              <w:tab w:val="right" w:leader="dot" w:pos="10196"/>
            </w:tabs>
            <w:rPr>
              <w:rFonts w:asciiTheme="minorHAnsi" w:eastAsiaTheme="minorEastAsia" w:hAnsiTheme="minorHAnsi"/>
              <w:noProof/>
              <w:sz w:val="22"/>
              <w:lang w:val="fi-FI" w:eastAsia="fi-FI"/>
            </w:rPr>
          </w:pPr>
          <w:hyperlink w:anchor="_Toc154142291" w:history="1">
            <w:r w:rsidRPr="00ED2803">
              <w:rPr>
                <w:rStyle w:val="Hyperlinkki"/>
                <w:noProof/>
              </w:rPr>
              <w:t>Article 51: Risk assessment and risk management</w:t>
            </w:r>
            <w:r>
              <w:rPr>
                <w:noProof/>
                <w:webHidden/>
              </w:rPr>
              <w:tab/>
            </w:r>
            <w:r>
              <w:rPr>
                <w:noProof/>
                <w:webHidden/>
              </w:rPr>
              <w:fldChar w:fldCharType="begin"/>
            </w:r>
            <w:r>
              <w:rPr>
                <w:noProof/>
                <w:webHidden/>
              </w:rPr>
              <w:instrText xml:space="preserve"> PAGEREF _Toc154142291 \h </w:instrText>
            </w:r>
            <w:r>
              <w:rPr>
                <w:noProof/>
                <w:webHidden/>
              </w:rPr>
            </w:r>
            <w:r>
              <w:rPr>
                <w:noProof/>
                <w:webHidden/>
              </w:rPr>
              <w:fldChar w:fldCharType="separate"/>
            </w:r>
            <w:r w:rsidR="000C61A9">
              <w:rPr>
                <w:noProof/>
                <w:webHidden/>
              </w:rPr>
              <w:t>18</w:t>
            </w:r>
            <w:r>
              <w:rPr>
                <w:noProof/>
                <w:webHidden/>
              </w:rPr>
              <w:fldChar w:fldCharType="end"/>
            </w:r>
          </w:hyperlink>
        </w:p>
        <w:p w14:paraId="34509DAD" w14:textId="7798B69D" w:rsidR="00481DAC" w:rsidRDefault="00481DAC">
          <w:pPr>
            <w:pStyle w:val="Sisluet1"/>
            <w:tabs>
              <w:tab w:val="right" w:leader="dot" w:pos="10196"/>
            </w:tabs>
            <w:rPr>
              <w:rFonts w:asciiTheme="minorHAnsi" w:eastAsiaTheme="minorEastAsia" w:hAnsiTheme="minorHAnsi"/>
              <w:noProof/>
              <w:sz w:val="22"/>
              <w:lang w:val="fi-FI" w:eastAsia="fi-FI"/>
            </w:rPr>
          </w:pPr>
          <w:hyperlink w:anchor="_Toc154142292" w:history="1">
            <w:r w:rsidRPr="00ED2803">
              <w:rPr>
                <w:rStyle w:val="Hyperlinkki"/>
                <w:noProof/>
              </w:rPr>
              <w:t>Part III: Emerging trends on violence against women and domestic violence</w:t>
            </w:r>
            <w:r>
              <w:rPr>
                <w:noProof/>
                <w:webHidden/>
              </w:rPr>
              <w:tab/>
            </w:r>
            <w:r>
              <w:rPr>
                <w:noProof/>
                <w:webHidden/>
              </w:rPr>
              <w:fldChar w:fldCharType="begin"/>
            </w:r>
            <w:r>
              <w:rPr>
                <w:noProof/>
                <w:webHidden/>
              </w:rPr>
              <w:instrText xml:space="preserve"> PAGEREF _Toc154142292 \h </w:instrText>
            </w:r>
            <w:r>
              <w:rPr>
                <w:noProof/>
                <w:webHidden/>
              </w:rPr>
            </w:r>
            <w:r>
              <w:rPr>
                <w:noProof/>
                <w:webHidden/>
              </w:rPr>
              <w:fldChar w:fldCharType="separate"/>
            </w:r>
            <w:r w:rsidR="000C61A9">
              <w:rPr>
                <w:noProof/>
                <w:webHidden/>
              </w:rPr>
              <w:t>19</w:t>
            </w:r>
            <w:r>
              <w:rPr>
                <w:noProof/>
                <w:webHidden/>
              </w:rPr>
              <w:fldChar w:fldCharType="end"/>
            </w:r>
          </w:hyperlink>
        </w:p>
        <w:p w14:paraId="37ECB9A6" w14:textId="13BDD862" w:rsidR="00693FCF" w:rsidRPr="00BD68B7" w:rsidRDefault="00693FCF">
          <w:r w:rsidRPr="00BD68B7">
            <w:rPr>
              <w:b/>
              <w:bCs/>
            </w:rPr>
            <w:fldChar w:fldCharType="end"/>
          </w:r>
        </w:p>
      </w:sdtContent>
    </w:sdt>
    <w:p w14:paraId="0D8D426E" w14:textId="51C1FF5C" w:rsidR="00693FCF" w:rsidRPr="00BD68B7" w:rsidRDefault="00693FCF">
      <w:pPr>
        <w:rPr>
          <w:rFonts w:eastAsia="Times New Roman" w:cs="Times New Roman"/>
          <w:szCs w:val="24"/>
          <w:highlight w:val="yellow"/>
        </w:rPr>
      </w:pPr>
      <w:r w:rsidRPr="00BD68B7">
        <w:rPr>
          <w:rFonts w:eastAsia="Times New Roman" w:cs="Times New Roman"/>
          <w:szCs w:val="24"/>
          <w:highlight w:val="yellow"/>
        </w:rPr>
        <w:br w:type="page"/>
      </w:r>
    </w:p>
    <w:p w14:paraId="7F20BF6F" w14:textId="77777777" w:rsidR="003C5EF4" w:rsidRPr="00BD68B7" w:rsidRDefault="003C5EF4" w:rsidP="00B05E26">
      <w:pPr>
        <w:pStyle w:val="Otsikko1"/>
      </w:pPr>
      <w:bookmarkStart w:id="0" w:name="_Toc131671176"/>
      <w:bookmarkStart w:id="1" w:name="_Toc154142274"/>
      <w:r w:rsidRPr="00BD68B7">
        <w:lastRenderedPageBreak/>
        <w:t xml:space="preserve">Part I: Changes in comprehensive and co-ordinated policies, </w:t>
      </w:r>
      <w:proofErr w:type="gramStart"/>
      <w:r w:rsidRPr="00BD68B7">
        <w:t>funding</w:t>
      </w:r>
      <w:proofErr w:type="gramEnd"/>
      <w:r w:rsidRPr="00BD68B7">
        <w:t xml:space="preserve"> and data collection in the area of violence against women and domestic violence</w:t>
      </w:r>
      <w:bookmarkEnd w:id="1"/>
    </w:p>
    <w:p w14:paraId="265CF665" w14:textId="6D6A71E3" w:rsidR="003C5EF4" w:rsidRPr="00BD68B7" w:rsidRDefault="003C5EF4" w:rsidP="00EE3E96">
      <w:pPr>
        <w:pStyle w:val="Otsikko2"/>
      </w:pPr>
      <w:bookmarkStart w:id="2" w:name="_Toc154142275"/>
      <w:r w:rsidRPr="00BD68B7">
        <w:t>Article 7: Comprehensive and co-ordinated policies</w:t>
      </w:r>
      <w:bookmarkEnd w:id="2"/>
    </w:p>
    <w:p w14:paraId="4529C95F" w14:textId="6C4F82EA" w:rsidR="00D61A5D" w:rsidRPr="00BD68B7" w:rsidRDefault="00E3653D" w:rsidP="0026367F">
      <w:pPr>
        <w:pStyle w:val="Leipteksti2kappalenumeroilla"/>
      </w:pPr>
      <w:r w:rsidRPr="00BD68B7">
        <w:t xml:space="preserve">Finland </w:t>
      </w:r>
      <w:r w:rsidR="00D61A5D" w:rsidRPr="00BD68B7">
        <w:t xml:space="preserve">keeps lacking </w:t>
      </w:r>
      <w:r w:rsidRPr="00BD68B7">
        <w:t>a long-term strategy to prevent and combat violence against women</w:t>
      </w:r>
      <w:r w:rsidR="00FF60EB">
        <w:t xml:space="preserve"> (VAW)</w:t>
      </w:r>
      <w:r w:rsidRPr="00BD68B7">
        <w:t xml:space="preserve">. Different policy programmes </w:t>
      </w:r>
      <w:r w:rsidR="003B4D87" w:rsidRPr="00BD68B7">
        <w:t xml:space="preserve">and action plans </w:t>
      </w:r>
      <w:r w:rsidRPr="00BD68B7">
        <w:t xml:space="preserve">are </w:t>
      </w:r>
      <w:r w:rsidR="00D61A5D" w:rsidRPr="00BD68B7">
        <w:t>repe</w:t>
      </w:r>
      <w:r w:rsidR="00F40CD5">
        <w:t>a</w:t>
      </w:r>
      <w:r w:rsidR="00D61A5D" w:rsidRPr="00BD68B7">
        <w:t>t</w:t>
      </w:r>
      <w:r w:rsidR="00F40CD5">
        <w:t xml:space="preserve">edly </w:t>
      </w:r>
      <w:r w:rsidRPr="00BD68B7">
        <w:t>of fixed duration, most often comprising one parliamentary term at a time. This means that aims, means, and funding are constantly renegotiated and redefined on national level. Lack of continuity and lack of long-term earmarked funding weaken national policy framework notably.</w:t>
      </w:r>
    </w:p>
    <w:p w14:paraId="16201382" w14:textId="68A9A263" w:rsidR="001D03BA" w:rsidRPr="00BD68B7" w:rsidRDefault="001D03BA" w:rsidP="0026367F">
      <w:pPr>
        <w:pStyle w:val="Leipteksti2kappalenumeroilla"/>
      </w:pPr>
      <w:r w:rsidRPr="00BD68B7">
        <w:t xml:space="preserve">Throughout the Government’s report, </w:t>
      </w:r>
      <w:r w:rsidR="00E34F69" w:rsidRPr="00BD68B7">
        <w:t xml:space="preserve">Finland </w:t>
      </w:r>
      <w:r w:rsidRPr="00BD68B7">
        <w:t>highlights</w:t>
      </w:r>
    </w:p>
    <w:p w14:paraId="0052F7FF" w14:textId="7CD7B281" w:rsidR="001D03BA" w:rsidRPr="00BD68B7" w:rsidRDefault="001D03BA" w:rsidP="0026367F">
      <w:pPr>
        <w:pStyle w:val="Luettelokappale"/>
      </w:pPr>
      <w:r w:rsidRPr="00BD68B7">
        <w:t>the second Action Plan for the Istanbul Convention 2022–2025 (here</w:t>
      </w:r>
      <w:r w:rsidR="00575C4B" w:rsidRPr="00BD68B7">
        <w:t>in</w:t>
      </w:r>
      <w:r w:rsidRPr="00BD68B7">
        <w:t>after the ‘IC Action Plan’)</w:t>
      </w:r>
    </w:p>
    <w:p w14:paraId="5E4B7107" w14:textId="50EF666D" w:rsidR="001D03BA" w:rsidRPr="00BD68B7" w:rsidRDefault="001D03BA" w:rsidP="0026367F">
      <w:pPr>
        <w:pStyle w:val="Luettelokappale"/>
      </w:pPr>
      <w:r w:rsidRPr="00BD68B7">
        <w:t xml:space="preserve">Action Plan to Combat Violence against Women </w:t>
      </w:r>
      <w:r w:rsidR="005A6E5A" w:rsidRPr="00BD68B7">
        <w:t xml:space="preserve">2020–2023 </w:t>
      </w:r>
      <w:r w:rsidRPr="00BD68B7">
        <w:t>(here</w:t>
      </w:r>
      <w:r w:rsidR="00575C4B" w:rsidRPr="00BD68B7">
        <w:t>in</w:t>
      </w:r>
      <w:r w:rsidRPr="00BD68B7">
        <w:t>after the ‘VAW Action Plan’)</w:t>
      </w:r>
      <w:r w:rsidR="005A6E5A" w:rsidRPr="00BD68B7">
        <w:t>; and</w:t>
      </w:r>
    </w:p>
    <w:p w14:paraId="331780CF" w14:textId="77777777" w:rsidR="00A34BFD" w:rsidRPr="00BD68B7" w:rsidRDefault="005A6E5A" w:rsidP="0026367F">
      <w:pPr>
        <w:pStyle w:val="Luettelokappale"/>
      </w:pPr>
      <w:r w:rsidRPr="00BD68B7">
        <w:t>the second National Action Plan for the Prevention of FGM, 2019 onwards (here</w:t>
      </w:r>
      <w:r w:rsidR="00575C4B" w:rsidRPr="00BD68B7">
        <w:t>in</w:t>
      </w:r>
      <w:r w:rsidRPr="00BD68B7">
        <w:t xml:space="preserve">after the </w:t>
      </w:r>
      <w:r w:rsidR="00A34BFD" w:rsidRPr="00BD68B7">
        <w:t>‘</w:t>
      </w:r>
      <w:r w:rsidRPr="00BD68B7">
        <w:t>FGM Prevention Action Plan</w:t>
      </w:r>
      <w:r w:rsidR="00A34BFD" w:rsidRPr="00BD68B7">
        <w:t>’</w:t>
      </w:r>
      <w:r w:rsidRPr="00BD68B7">
        <w:t>)</w:t>
      </w:r>
    </w:p>
    <w:p w14:paraId="0896EF5A" w14:textId="434AE1E7" w:rsidR="00DE1DE0" w:rsidRPr="00BD68B7" w:rsidRDefault="005A6E5A" w:rsidP="00A34BFD">
      <w:pPr>
        <w:ind w:left="360"/>
      </w:pPr>
      <w:r w:rsidRPr="00BD68B7">
        <w:t>It should be note</w:t>
      </w:r>
      <w:r w:rsidR="00716B82" w:rsidRPr="00BD68B7">
        <w:t>d</w:t>
      </w:r>
      <w:r w:rsidRPr="00BD68B7">
        <w:t xml:space="preserve"> that</w:t>
      </w:r>
      <w:r w:rsidR="00716B82" w:rsidRPr="00BD68B7">
        <w:t>,</w:t>
      </w:r>
      <w:r w:rsidRPr="00BD68B7">
        <w:t xml:space="preserve"> contrary to the fourth pillar of the Istanbul Convention, these Action Plans are not </w:t>
      </w:r>
      <w:r w:rsidR="00575C4B" w:rsidRPr="00BD68B7">
        <w:t xml:space="preserve">co-ordinated nor comprehensive, </w:t>
      </w:r>
      <w:r w:rsidRPr="00BD68B7">
        <w:t>but each has been drafted</w:t>
      </w:r>
      <w:r w:rsidR="00575C4B" w:rsidRPr="00BD68B7">
        <w:t>, funded,</w:t>
      </w:r>
      <w:r w:rsidRPr="00BD68B7">
        <w:t xml:space="preserve"> and implemented separately under different administrative branches</w:t>
      </w:r>
      <w:r w:rsidR="00575C4B" w:rsidRPr="00BD68B7">
        <w:t xml:space="preserve"> and ministerial responsibility</w:t>
      </w:r>
      <w:r w:rsidRPr="00BD68B7">
        <w:t>.</w:t>
      </w:r>
    </w:p>
    <w:p w14:paraId="05941DB6" w14:textId="77777777" w:rsidR="00D61A5D" w:rsidRPr="00BD68B7" w:rsidRDefault="00D61A5D" w:rsidP="0026367F">
      <w:pPr>
        <w:pStyle w:val="Leipteksti2kappalenumeroilla"/>
      </w:pPr>
      <w:r w:rsidRPr="00BD68B7">
        <w:t>In the Non-Discrimination Ombudsman’s view, Finland does not have a comprehensive and co-ordinated policy mechanism as required and referred to as the fourth pillar of the Istanbul Convention.</w:t>
      </w:r>
    </w:p>
    <w:p w14:paraId="770D24C6" w14:textId="7CD066C2" w:rsidR="00630165" w:rsidRPr="00BD68B7" w:rsidRDefault="00DE1DE0" w:rsidP="0026367F">
      <w:pPr>
        <w:pStyle w:val="Leipteksti2kappalenumeroilla"/>
      </w:pPr>
      <w:r w:rsidRPr="00BD68B7">
        <w:t>Many policy programmes and measures referred to in action plans</w:t>
      </w:r>
      <w:r w:rsidR="00965FD1" w:rsidRPr="00BD68B7">
        <w:t>,</w:t>
      </w:r>
      <w:r w:rsidRPr="00BD68B7">
        <w:t xml:space="preserve"> and in the Gov</w:t>
      </w:r>
      <w:r w:rsidR="00D61A5D" w:rsidRPr="00BD68B7">
        <w:t>ernmen</w:t>
      </w:r>
      <w:r w:rsidRPr="00BD68B7">
        <w:t>t’s report</w:t>
      </w:r>
      <w:r w:rsidR="00F40CD5">
        <w:t xml:space="preserve"> on Gender Equality</w:t>
      </w:r>
      <w:r w:rsidR="008716C8" w:rsidRPr="00BD68B7">
        <w:t>,</w:t>
      </w:r>
      <w:r w:rsidRPr="00BD68B7">
        <w:t xml:space="preserve"> are not explicitly gender sensitive</w:t>
      </w:r>
      <w:r w:rsidR="003A1C6D" w:rsidRPr="00BD68B7">
        <w:t>, and as a rule of thumb, do not target specifically women</w:t>
      </w:r>
      <w:r w:rsidRPr="00BD68B7">
        <w:t>. The FGM Action Plan is the only one putting the protection of women and girls at the centre of actions.</w:t>
      </w:r>
    </w:p>
    <w:p w14:paraId="3AB99BFC" w14:textId="2FC52A51" w:rsidR="000E28B6" w:rsidRPr="00BD68B7" w:rsidRDefault="00575C4B" w:rsidP="0026367F">
      <w:pPr>
        <w:pStyle w:val="Leipteksti2kappalenumeroilla"/>
      </w:pPr>
      <w:r w:rsidRPr="00BD68B7">
        <w:t xml:space="preserve">Furthermore, the primary </w:t>
      </w:r>
      <w:r w:rsidR="007A44F2" w:rsidRPr="00BD68B7">
        <w:t xml:space="preserve">cross-sectoral policy tool </w:t>
      </w:r>
      <w:r w:rsidRPr="00BD68B7">
        <w:t>to coordinate gender equality policies in Finland is the national Action Plan for Gender Equality</w:t>
      </w:r>
      <w:r w:rsidR="00A34BFD" w:rsidRPr="00BD68B7">
        <w:t xml:space="preserve"> (hereinafter the ‘GE Action Plan’)</w:t>
      </w:r>
      <w:r w:rsidRPr="00BD68B7">
        <w:t xml:space="preserve">, drafted </w:t>
      </w:r>
      <w:r w:rsidR="00A34BFD" w:rsidRPr="00BD68B7">
        <w:t xml:space="preserve">and monitored </w:t>
      </w:r>
      <w:r w:rsidRPr="00BD68B7">
        <w:t>apart</w:t>
      </w:r>
      <w:r w:rsidR="00A34BFD" w:rsidRPr="00BD68B7">
        <w:t xml:space="preserve"> from </w:t>
      </w:r>
      <w:r w:rsidR="00E23659" w:rsidRPr="00BD68B7">
        <w:t xml:space="preserve">the </w:t>
      </w:r>
      <w:r w:rsidR="00A34BFD" w:rsidRPr="00BD68B7">
        <w:t>other action plans</w:t>
      </w:r>
      <w:r w:rsidRPr="00BD68B7">
        <w:t xml:space="preserve">. </w:t>
      </w:r>
      <w:r w:rsidR="00A34BFD" w:rsidRPr="00BD68B7">
        <w:t>T</w:t>
      </w:r>
      <w:r w:rsidRPr="00BD68B7">
        <w:t xml:space="preserve">he previous </w:t>
      </w:r>
      <w:r w:rsidR="00A34BFD" w:rsidRPr="00BD68B7">
        <w:t xml:space="preserve">GE </w:t>
      </w:r>
      <w:r w:rsidRPr="00BD68B7">
        <w:t xml:space="preserve">Action Plan </w:t>
      </w:r>
      <w:r w:rsidR="00A34BFD" w:rsidRPr="00BD68B7">
        <w:t xml:space="preserve">2020–2023, </w:t>
      </w:r>
      <w:r w:rsidR="00257E28" w:rsidRPr="00BD68B7">
        <w:t>extending</w:t>
      </w:r>
      <w:r w:rsidR="00A34BFD" w:rsidRPr="00BD68B7">
        <w:t xml:space="preserve"> </w:t>
      </w:r>
      <w:r w:rsidRPr="00BD68B7">
        <w:t>former prime minister Sanna Marin’s Government’s term</w:t>
      </w:r>
      <w:r w:rsidR="00A34BFD" w:rsidRPr="00BD68B7">
        <w:t xml:space="preserve">, </w:t>
      </w:r>
      <w:r w:rsidR="009F779C" w:rsidRPr="00BD68B7">
        <w:t>mentioned explicitly ‘</w:t>
      </w:r>
      <w:r w:rsidR="00A34BFD" w:rsidRPr="00BD68B7">
        <w:t>violence against women</w:t>
      </w:r>
      <w:r w:rsidR="009F779C" w:rsidRPr="00BD68B7">
        <w:t>’</w:t>
      </w:r>
      <w:r w:rsidR="00A34BFD" w:rsidRPr="00BD68B7">
        <w:t xml:space="preserve"> as a</w:t>
      </w:r>
      <w:r w:rsidRPr="00BD68B7">
        <w:t xml:space="preserve"> </w:t>
      </w:r>
      <w:r w:rsidR="00A34BFD" w:rsidRPr="00BD68B7">
        <w:t>serious issue</w:t>
      </w:r>
      <w:r w:rsidR="009F779C" w:rsidRPr="00BD68B7">
        <w:t xml:space="preserve"> in Finland</w:t>
      </w:r>
      <w:r w:rsidR="000E28B6" w:rsidRPr="00BD68B7">
        <w:t xml:space="preserve">, yet its measures to combat violence </w:t>
      </w:r>
      <w:r w:rsidR="004308DE" w:rsidRPr="00BD68B7">
        <w:t>we</w:t>
      </w:r>
      <w:r w:rsidR="000E28B6" w:rsidRPr="00BD68B7">
        <w:t xml:space="preserve">re gender neutral in framing </w:t>
      </w:r>
      <w:r w:rsidR="00965FD1" w:rsidRPr="00BD68B7">
        <w:t xml:space="preserve">the problem simply as </w:t>
      </w:r>
      <w:r w:rsidR="000E28B6" w:rsidRPr="00BD68B7">
        <w:t>‘gender-based violence’.</w:t>
      </w:r>
    </w:p>
    <w:p w14:paraId="7C1D5C46" w14:textId="47D37760" w:rsidR="004308DE" w:rsidRPr="00BD68B7" w:rsidRDefault="004308DE" w:rsidP="0026367F">
      <w:pPr>
        <w:pStyle w:val="Leipteksti2kappalenumeroilla"/>
      </w:pPr>
      <w:r w:rsidRPr="00BD68B7">
        <w:t xml:space="preserve">The Government Report on Gender Equality, submitted to the Parliament in June 2022, sets as a goal that by 2030 no one dies or loses one’s health as a victim of gender-based violence. Again, the goal is framed in a gender-neutral way as if </w:t>
      </w:r>
      <w:r w:rsidR="009C44F7" w:rsidRPr="00BD68B7">
        <w:t>women and men were equally affected by gender-based violence.</w:t>
      </w:r>
    </w:p>
    <w:p w14:paraId="3D24146F" w14:textId="019B0937" w:rsidR="00E23659" w:rsidRPr="00BD68B7" w:rsidRDefault="00A2680B" w:rsidP="0026367F">
      <w:pPr>
        <w:pStyle w:val="Leipteksti2kappalenumeroilla"/>
      </w:pPr>
      <w:r w:rsidRPr="00BD68B7">
        <w:lastRenderedPageBreak/>
        <w:t>T</w:t>
      </w:r>
      <w:r w:rsidR="004308DE" w:rsidRPr="00BD68B7">
        <w:t xml:space="preserve">he Parliament gave a statement </w:t>
      </w:r>
      <w:r w:rsidRPr="00BD68B7">
        <w:t>(</w:t>
      </w:r>
      <w:r w:rsidRPr="00DD1539">
        <w:t xml:space="preserve">EK </w:t>
      </w:r>
      <w:r w:rsidR="00DD1539" w:rsidRPr="00DD1539">
        <w:t>67</w:t>
      </w:r>
      <w:r w:rsidRPr="00DD1539">
        <w:t xml:space="preserve">/2022 </w:t>
      </w:r>
      <w:proofErr w:type="spellStart"/>
      <w:r w:rsidRPr="00DD1539">
        <w:t>vp</w:t>
      </w:r>
      <w:proofErr w:type="spellEnd"/>
      <w:r w:rsidRPr="00DD1539">
        <w:t>)</w:t>
      </w:r>
      <w:r w:rsidRPr="00BD68B7">
        <w:t xml:space="preserve"> on the Government Report on Gender Equality, demanding </w:t>
      </w:r>
      <w:r w:rsidR="004308DE" w:rsidRPr="00BD68B7">
        <w:t xml:space="preserve">the Government </w:t>
      </w:r>
      <w:r w:rsidRPr="00BD68B7">
        <w:t xml:space="preserve">to </w:t>
      </w:r>
      <w:r w:rsidR="004308DE" w:rsidRPr="00BD68B7">
        <w:t>ensure that measures against violence will be of permanent nature and that the policy framework to combat violence will be assessed.</w:t>
      </w:r>
      <w:r w:rsidR="009C44F7" w:rsidRPr="00BD68B7">
        <w:t xml:space="preserve"> The Ombudsman is not aware if this statement will have a positive effect on national policies.</w:t>
      </w:r>
    </w:p>
    <w:p w14:paraId="1AD33C53" w14:textId="100B5766" w:rsidR="00410D6A" w:rsidRPr="00BD68B7" w:rsidRDefault="00410D6A" w:rsidP="0026367F">
      <w:pPr>
        <w:pStyle w:val="Leipteksti2kappalenumeroilla"/>
      </w:pPr>
      <w:r w:rsidRPr="00BD68B7">
        <w:t xml:space="preserve">Finland had parliamentary elections in April 2023, and Prime Minister Petteri </w:t>
      </w:r>
      <w:proofErr w:type="spellStart"/>
      <w:r w:rsidRPr="00BD68B7">
        <w:t>Orpo’s</w:t>
      </w:r>
      <w:proofErr w:type="spellEnd"/>
      <w:r w:rsidRPr="00BD68B7">
        <w:t xml:space="preserve"> Government</w:t>
      </w:r>
      <w:r w:rsidRPr="00BD68B7">
        <w:rPr>
          <w:b/>
          <w:bCs/>
        </w:rPr>
        <w:t xml:space="preserve"> </w:t>
      </w:r>
      <w:r w:rsidRPr="00BD68B7">
        <w:t xml:space="preserve">started operating in June 2023. Prime Minister </w:t>
      </w:r>
      <w:proofErr w:type="spellStart"/>
      <w:r w:rsidRPr="00BD68B7">
        <w:t>Orpo’s</w:t>
      </w:r>
      <w:proofErr w:type="spellEnd"/>
      <w:r w:rsidRPr="00BD68B7">
        <w:t xml:space="preserve"> Government Programme includes many concrete measures related to violence against women. However, it remains unclear whether these measures, such as assessing the need to criminalise coercive control, female genital mutilation and forced marriage, or the need to amend legislation on public social and health services and on alternative dispute resolution to better combat violence against women, will be carried out in a co-ordinated and comprehensive manner.</w:t>
      </w:r>
    </w:p>
    <w:p w14:paraId="4F1FE5DD" w14:textId="2A8EC4DC" w:rsidR="000A7429" w:rsidRPr="00BD68B7" w:rsidRDefault="000A7429" w:rsidP="0026367F">
      <w:pPr>
        <w:pStyle w:val="Leipteksti2kappalenumeroilla"/>
      </w:pPr>
      <w:r w:rsidRPr="00BD68B7">
        <w:t>The only action plan currently in force is the IC Action Plan 2022</w:t>
      </w:r>
      <w:r w:rsidR="00B42343" w:rsidRPr="00BD68B7">
        <w:t>–</w:t>
      </w:r>
      <w:r w:rsidRPr="00BD68B7">
        <w:t xml:space="preserve">2025. </w:t>
      </w:r>
      <w:r w:rsidR="00D0144C" w:rsidRPr="00BD68B7">
        <w:t xml:space="preserve">In the Ombudsman’s view, it </w:t>
      </w:r>
      <w:r w:rsidR="00137C7F" w:rsidRPr="00BD68B7">
        <w:t>is</w:t>
      </w:r>
      <w:r w:rsidR="00D0144C" w:rsidRPr="00BD68B7">
        <w:t xml:space="preserve"> problematic </w:t>
      </w:r>
      <w:r w:rsidRPr="00BD68B7">
        <w:t xml:space="preserve">if the </w:t>
      </w:r>
      <w:r w:rsidR="00D0144C" w:rsidRPr="00BD68B7">
        <w:t xml:space="preserve">IC Action Plan </w:t>
      </w:r>
      <w:r w:rsidRPr="00BD68B7">
        <w:t xml:space="preserve">will not be revised considering the Government Programme and thus continues to </w:t>
      </w:r>
      <w:r w:rsidR="00D0144C" w:rsidRPr="00BD68B7">
        <w:t>exclude</w:t>
      </w:r>
      <w:r w:rsidRPr="00BD68B7">
        <w:t>, for instance,</w:t>
      </w:r>
      <w:r w:rsidR="00D0144C" w:rsidRPr="00BD68B7">
        <w:t xml:space="preserve"> criminal law and its reforms</w:t>
      </w:r>
      <w:r w:rsidRPr="00BD68B7">
        <w:t>.</w:t>
      </w:r>
    </w:p>
    <w:p w14:paraId="12FABFC1" w14:textId="3AC57503" w:rsidR="001D4A10" w:rsidRPr="00BD68B7" w:rsidRDefault="00B42343" w:rsidP="0026367F">
      <w:pPr>
        <w:pStyle w:val="Leipteksti2kappalenumeroilla"/>
      </w:pPr>
      <w:r w:rsidRPr="00BD68B7">
        <w:t xml:space="preserve">As a new GE Action Plan is under preparations for the term of Prime Minister </w:t>
      </w:r>
      <w:proofErr w:type="spellStart"/>
      <w:r w:rsidRPr="00BD68B7">
        <w:t>Orpo’s</w:t>
      </w:r>
      <w:proofErr w:type="spellEnd"/>
      <w:r w:rsidRPr="00BD68B7">
        <w:t xml:space="preserve"> Government, </w:t>
      </w:r>
      <w:r w:rsidR="00456FF2" w:rsidRPr="00BD68B7">
        <w:t xml:space="preserve">it would be </w:t>
      </w:r>
      <w:r w:rsidR="00C934FD" w:rsidRPr="00BD68B7">
        <w:t>paramount for the GE Action Plan to address violence against women, to refer to the IC Action Plan, and to define what measures will be followed by which mechanisms.</w:t>
      </w:r>
    </w:p>
    <w:p w14:paraId="56D75034" w14:textId="1E2D00E4" w:rsidR="00607C22" w:rsidRPr="00BD68B7" w:rsidRDefault="004A7C16" w:rsidP="0026367F">
      <w:pPr>
        <w:pStyle w:val="Leipteksti2kappalenumeroilla"/>
      </w:pPr>
      <w:r>
        <w:t>As for the NAPE Committee, i</w:t>
      </w:r>
      <w:r w:rsidR="00A5371D" w:rsidRPr="00BD68B7">
        <w:t xml:space="preserve">t should be </w:t>
      </w:r>
      <w:r w:rsidR="00607C22" w:rsidRPr="00BD68B7">
        <w:t>note</w:t>
      </w:r>
      <w:r w:rsidR="00A5371D" w:rsidRPr="00BD68B7">
        <w:t>d</w:t>
      </w:r>
      <w:r w:rsidR="00607C22" w:rsidRPr="00BD68B7">
        <w:t xml:space="preserve"> that </w:t>
      </w:r>
      <w:r w:rsidR="001D4A10" w:rsidRPr="00BD68B7">
        <w:t xml:space="preserve">the political </w:t>
      </w:r>
      <w:r w:rsidR="00607C22" w:rsidRPr="00BD68B7">
        <w:t>decision-making and implementation</w:t>
      </w:r>
      <w:r w:rsidR="001D4A10" w:rsidRPr="00BD68B7">
        <w:t xml:space="preserve"> of measures</w:t>
      </w:r>
      <w:r w:rsidR="00607C22" w:rsidRPr="00BD68B7">
        <w:t xml:space="preserve"> fall out of the scope of the Committee’s mandate. Notwithstanding, obligations laid down in the Istanbul Convention and </w:t>
      </w:r>
      <w:r w:rsidR="00A5371D" w:rsidRPr="00BD68B7">
        <w:t xml:space="preserve">the powers given to the NAPE Committee </w:t>
      </w:r>
      <w:r w:rsidR="00607C22" w:rsidRPr="00BD68B7">
        <w:t xml:space="preserve">in the </w:t>
      </w:r>
      <w:r w:rsidR="001D4A10" w:rsidRPr="00BD68B7">
        <w:t xml:space="preserve">Government </w:t>
      </w:r>
      <w:r w:rsidR="00607C22" w:rsidRPr="00BD68B7">
        <w:t xml:space="preserve">Decree </w:t>
      </w:r>
      <w:r w:rsidR="001D4A10" w:rsidRPr="00BD68B7">
        <w:t xml:space="preserve">state clearly that </w:t>
      </w:r>
      <w:r w:rsidR="00607C22" w:rsidRPr="00BD68B7">
        <w:t xml:space="preserve">the NAPE Committee </w:t>
      </w:r>
      <w:r w:rsidR="006924DB" w:rsidRPr="00BD68B7">
        <w:t xml:space="preserve">shall </w:t>
      </w:r>
      <w:r w:rsidR="00BE2C0A" w:rsidRPr="00BD68B7">
        <w:t xml:space="preserve">co-ordinate, </w:t>
      </w:r>
      <w:r w:rsidR="00607C22" w:rsidRPr="00BD68B7">
        <w:t>monitor and assess</w:t>
      </w:r>
      <w:r w:rsidR="006924DB" w:rsidRPr="00BD68B7">
        <w:t xml:space="preserve"> </w:t>
      </w:r>
      <w:r w:rsidR="00A5371D" w:rsidRPr="00BD68B7">
        <w:t>national policies</w:t>
      </w:r>
      <w:r w:rsidR="00607C22" w:rsidRPr="00BD68B7">
        <w:t xml:space="preserve">. </w:t>
      </w:r>
      <w:r w:rsidR="00A5371D" w:rsidRPr="00BD68B7">
        <w:t xml:space="preserve">The Ombudsman </w:t>
      </w:r>
      <w:r w:rsidR="001D4A10" w:rsidRPr="00BD68B7">
        <w:t xml:space="preserve">would encourage the NAPE Committee to take a more active role in continuous assessment </w:t>
      </w:r>
      <w:r w:rsidR="00084D7C" w:rsidRPr="00BD68B7">
        <w:t>of national policies.</w:t>
      </w:r>
    </w:p>
    <w:p w14:paraId="64190DA2" w14:textId="0934345F" w:rsidR="00CE183D" w:rsidRPr="00BD68B7" w:rsidRDefault="000E7006" w:rsidP="0026367F">
      <w:pPr>
        <w:pStyle w:val="Leipteksti2kappalenumeroilla"/>
      </w:pPr>
      <w:r w:rsidRPr="00BD68B7">
        <w:t>The new wellbeing services counties compris</w:t>
      </w:r>
      <w:r w:rsidR="000002E5" w:rsidRPr="00BD68B7">
        <w:t>ing</w:t>
      </w:r>
      <w:r w:rsidR="00BE291D" w:rsidRPr="00BD68B7">
        <w:t xml:space="preserve"> </w:t>
      </w:r>
      <w:r w:rsidR="000002E5" w:rsidRPr="00BD68B7">
        <w:t>21 units</w:t>
      </w:r>
      <w:r w:rsidR="00BE291D" w:rsidRPr="00BD68B7">
        <w:t xml:space="preserve"> nationwide</w:t>
      </w:r>
      <w:r w:rsidR="000002E5" w:rsidRPr="00BD68B7">
        <w:t>, and the City of Helsinki</w:t>
      </w:r>
      <w:r w:rsidR="00806989" w:rsidRPr="00BD68B7">
        <w:t>,</w:t>
      </w:r>
      <w:r w:rsidRPr="00BD68B7">
        <w:t xml:space="preserve"> </w:t>
      </w:r>
      <w:r w:rsidR="000002E5" w:rsidRPr="00BD68B7">
        <w:t xml:space="preserve">have been </w:t>
      </w:r>
      <w:r w:rsidRPr="00BD68B7">
        <w:t>operating since January 2023</w:t>
      </w:r>
      <w:r w:rsidR="000002E5" w:rsidRPr="00BD68B7">
        <w:t xml:space="preserve">. </w:t>
      </w:r>
      <w:r w:rsidR="00CE183D" w:rsidRPr="00BD68B7">
        <w:t>It is the counties’ duty to provide public health and social services. The counties may either provide services themselves or purchase them from private service providers and civil society organisations</w:t>
      </w:r>
      <w:r w:rsidR="00010E4B">
        <w:t xml:space="preserve"> (CSOs)</w:t>
      </w:r>
      <w:r w:rsidR="00CE183D" w:rsidRPr="00BD68B7">
        <w:t>.</w:t>
      </w:r>
      <w:r w:rsidR="000002E5" w:rsidRPr="00BD68B7">
        <w:t xml:space="preserve"> </w:t>
      </w:r>
      <w:r w:rsidR="00CE183D" w:rsidRPr="00BD68B7">
        <w:t>S</w:t>
      </w:r>
      <w:r w:rsidR="000002E5" w:rsidRPr="00BD68B7">
        <w:t>ervices include:</w:t>
      </w:r>
    </w:p>
    <w:p w14:paraId="6084D678" w14:textId="51632897" w:rsidR="000002E5" w:rsidRPr="00BD68B7" w:rsidRDefault="000002E5" w:rsidP="0026367F">
      <w:pPr>
        <w:pStyle w:val="Luettelokappale"/>
      </w:pPr>
      <w:r w:rsidRPr="00BD68B7">
        <w:t>primary healthcare</w:t>
      </w:r>
    </w:p>
    <w:p w14:paraId="6324B526" w14:textId="77777777" w:rsidR="000002E5" w:rsidRPr="00BD68B7" w:rsidRDefault="000002E5" w:rsidP="0026367F">
      <w:pPr>
        <w:pStyle w:val="Luettelokappale"/>
      </w:pPr>
      <w:r w:rsidRPr="00BD68B7">
        <w:t>specialised healthcare</w:t>
      </w:r>
    </w:p>
    <w:p w14:paraId="124660CD" w14:textId="77777777" w:rsidR="000002E5" w:rsidRPr="00BD68B7" w:rsidRDefault="000002E5" w:rsidP="0026367F">
      <w:pPr>
        <w:pStyle w:val="Luettelokappale"/>
      </w:pPr>
      <w:r w:rsidRPr="00BD68B7">
        <w:t>hospital services</w:t>
      </w:r>
    </w:p>
    <w:p w14:paraId="30FC64D3" w14:textId="77777777" w:rsidR="000002E5" w:rsidRPr="00BD68B7" w:rsidRDefault="000002E5" w:rsidP="0026367F">
      <w:pPr>
        <w:pStyle w:val="Luettelokappale"/>
      </w:pPr>
      <w:r w:rsidRPr="00BD68B7">
        <w:t>dental care</w:t>
      </w:r>
    </w:p>
    <w:p w14:paraId="5DB4D003" w14:textId="77777777" w:rsidR="000002E5" w:rsidRPr="00BD68B7" w:rsidRDefault="000002E5" w:rsidP="0026367F">
      <w:pPr>
        <w:pStyle w:val="Luettelokappale"/>
      </w:pPr>
      <w:r w:rsidRPr="00BD68B7">
        <w:lastRenderedPageBreak/>
        <w:t>mental health and substance abuse services</w:t>
      </w:r>
    </w:p>
    <w:p w14:paraId="7C9CE95D" w14:textId="77777777" w:rsidR="000002E5" w:rsidRPr="00BD68B7" w:rsidRDefault="000002E5" w:rsidP="0026367F">
      <w:pPr>
        <w:pStyle w:val="Luettelokappale"/>
      </w:pPr>
      <w:r w:rsidRPr="00BD68B7">
        <w:t>maternity and child health clinics</w:t>
      </w:r>
    </w:p>
    <w:p w14:paraId="2AB192AB" w14:textId="77777777" w:rsidR="000002E5" w:rsidRPr="00BD68B7" w:rsidRDefault="000002E5" w:rsidP="0026367F">
      <w:pPr>
        <w:pStyle w:val="Luettelokappale"/>
      </w:pPr>
      <w:r w:rsidRPr="00BD68B7">
        <w:t>social work for adults</w:t>
      </w:r>
    </w:p>
    <w:p w14:paraId="79546397" w14:textId="77777777" w:rsidR="000002E5" w:rsidRPr="00BD68B7" w:rsidRDefault="000002E5" w:rsidP="0026367F">
      <w:pPr>
        <w:pStyle w:val="Luettelokappale"/>
      </w:pPr>
      <w:r w:rsidRPr="00BD68B7">
        <w:t>child welfare</w:t>
      </w:r>
    </w:p>
    <w:p w14:paraId="357D7DE9" w14:textId="77777777" w:rsidR="000002E5" w:rsidRPr="00BD68B7" w:rsidRDefault="000002E5" w:rsidP="0026367F">
      <w:pPr>
        <w:pStyle w:val="Luettelokappale"/>
      </w:pPr>
      <w:r w:rsidRPr="00BD68B7">
        <w:t>services for people with disabilities</w:t>
      </w:r>
    </w:p>
    <w:p w14:paraId="2A541668" w14:textId="77777777" w:rsidR="000002E5" w:rsidRPr="00BD68B7" w:rsidRDefault="000002E5" w:rsidP="0026367F">
      <w:pPr>
        <w:pStyle w:val="Luettelokappale"/>
      </w:pPr>
      <w:r w:rsidRPr="00BD68B7">
        <w:t>housing services for older people</w:t>
      </w:r>
    </w:p>
    <w:p w14:paraId="76EC678C" w14:textId="77777777" w:rsidR="000002E5" w:rsidRPr="00BD68B7" w:rsidRDefault="000002E5" w:rsidP="0026367F">
      <w:pPr>
        <w:pStyle w:val="Luettelokappale"/>
      </w:pPr>
      <w:r w:rsidRPr="00BD68B7">
        <w:t>home care</w:t>
      </w:r>
    </w:p>
    <w:p w14:paraId="5C66C2DF" w14:textId="23214AAB" w:rsidR="005A3234" w:rsidRPr="00BD68B7" w:rsidRDefault="000002E5" w:rsidP="0026367F">
      <w:pPr>
        <w:pStyle w:val="Luettelokappale"/>
      </w:pPr>
      <w:r w:rsidRPr="00BD68B7">
        <w:t>rehabilitation.</w:t>
      </w:r>
    </w:p>
    <w:p w14:paraId="768512D4" w14:textId="3191F307" w:rsidR="00D05665" w:rsidRPr="00BD68B7" w:rsidRDefault="005A3234" w:rsidP="0026367F">
      <w:pPr>
        <w:pStyle w:val="Leipteksti2kappalenumeroilla"/>
      </w:pPr>
      <w:r w:rsidRPr="00BD68B7">
        <w:t>The Finnish Institute for Health and Welfare (hereinafter THL) plays a key role in possessing expertise and providing nationwide support for multi-agency cooperation across different fields</w:t>
      </w:r>
      <w:r w:rsidR="006241D2" w:rsidRPr="00BD68B7">
        <w:t>, especial in social and health care and</w:t>
      </w:r>
      <w:r w:rsidR="0014777C" w:rsidRPr="00BD68B7">
        <w:t xml:space="preserve"> including the </w:t>
      </w:r>
      <w:r w:rsidR="00712760" w:rsidRPr="00BD68B7">
        <w:t>wellbeing services counties</w:t>
      </w:r>
      <w:r w:rsidRPr="00BD68B7">
        <w:t>.</w:t>
      </w:r>
      <w:r w:rsidR="00D05665" w:rsidRPr="00BD68B7">
        <w:t xml:space="preserve"> For </w:t>
      </w:r>
      <w:r w:rsidRPr="00BD68B7">
        <w:t xml:space="preserve">the wellbeing services counties </w:t>
      </w:r>
      <w:r w:rsidR="00EB299E" w:rsidRPr="00BD68B7">
        <w:t>and the municipalities</w:t>
      </w:r>
      <w:r w:rsidR="00D05665" w:rsidRPr="00BD68B7">
        <w:t xml:space="preserve">, THL has published national guidelines </w:t>
      </w:r>
      <w:r w:rsidRPr="00BD68B7">
        <w:t xml:space="preserve">on how to better support the regional and local governments on prevention of </w:t>
      </w:r>
      <w:r w:rsidR="006241D2" w:rsidRPr="00BD68B7">
        <w:t xml:space="preserve">close relationship </w:t>
      </w:r>
      <w:r w:rsidRPr="00BD68B7">
        <w:t>violence.</w:t>
      </w:r>
      <w:r w:rsidR="00B30B84">
        <w:rPr>
          <w:rStyle w:val="Alaviitteenviite"/>
        </w:rPr>
        <w:footnoteReference w:id="1"/>
      </w:r>
      <w:r w:rsidR="00D05665" w:rsidRPr="00BD68B7">
        <w:t xml:space="preserve"> </w:t>
      </w:r>
      <w:r w:rsidR="00EB299E" w:rsidRPr="00BD68B7">
        <w:t>The guidelines include</w:t>
      </w:r>
      <w:r w:rsidR="00D05665" w:rsidRPr="00BD68B7">
        <w:t>, for instance,</w:t>
      </w:r>
      <w:r w:rsidR="00EB299E" w:rsidRPr="00BD68B7">
        <w:t xml:space="preserve"> a recommendation for every wellbeing services county to appoint a coordinator </w:t>
      </w:r>
      <w:r w:rsidR="00A66425" w:rsidRPr="00BD68B7">
        <w:t>for comba</w:t>
      </w:r>
      <w:r w:rsidR="00B52BA6">
        <w:t>t</w:t>
      </w:r>
      <w:r w:rsidR="00A66425" w:rsidRPr="00BD68B7">
        <w:t>ting close relationship violence.</w:t>
      </w:r>
    </w:p>
    <w:p w14:paraId="53F44342" w14:textId="00143ED6" w:rsidR="00CD1928" w:rsidRPr="00BD68B7" w:rsidRDefault="00D05665" w:rsidP="0026367F">
      <w:pPr>
        <w:pStyle w:val="Leipteksti2kappalenumeroilla"/>
      </w:pPr>
      <w:r w:rsidRPr="00BD68B7">
        <w:t xml:space="preserve">In the fall of 2023, THL reviewed whether the counties had </w:t>
      </w:r>
      <w:r w:rsidR="00423731" w:rsidRPr="00BD68B7">
        <w:t xml:space="preserve">followed </w:t>
      </w:r>
      <w:r w:rsidRPr="00BD68B7">
        <w:t>the guidelines.</w:t>
      </w:r>
      <w:r w:rsidR="00423731" w:rsidRPr="00BD68B7">
        <w:t xml:space="preserve"> </w:t>
      </w:r>
      <w:r w:rsidR="00CD1928" w:rsidRPr="00BD68B7">
        <w:t xml:space="preserve">It results that the </w:t>
      </w:r>
      <w:r w:rsidR="009E0AA3" w:rsidRPr="00BD68B7">
        <w:t>counties have established different kind of mechanisms at a varying pace.</w:t>
      </w:r>
      <w:r w:rsidR="0099033E">
        <w:rPr>
          <w:rStyle w:val="Alaviitteenviite"/>
        </w:rPr>
        <w:footnoteReference w:id="2"/>
      </w:r>
      <w:r w:rsidR="009E0AA3" w:rsidRPr="00BD68B7">
        <w:t xml:space="preserve"> Biggest challenges seem to be the lack of systematic training of professionals </w:t>
      </w:r>
      <w:r w:rsidR="003776E9" w:rsidRPr="00BD68B7">
        <w:t xml:space="preserve">and deficient </w:t>
      </w:r>
      <w:r w:rsidR="009E0AA3" w:rsidRPr="00BD68B7">
        <w:t xml:space="preserve">follow-up of the use of </w:t>
      </w:r>
      <w:r w:rsidR="00CD1928" w:rsidRPr="00BD68B7">
        <w:t xml:space="preserve">existing good practices and working methods to screen and intervene violence. Half of the counties were able to describe </w:t>
      </w:r>
      <w:r w:rsidR="006B76D2" w:rsidRPr="00BD68B7">
        <w:t xml:space="preserve">available </w:t>
      </w:r>
      <w:r w:rsidR="00CD1928" w:rsidRPr="00BD68B7">
        <w:t xml:space="preserve">service chains for victims of close relationship violence, </w:t>
      </w:r>
      <w:r w:rsidR="006B76D2" w:rsidRPr="00BD68B7">
        <w:t xml:space="preserve">but </w:t>
      </w:r>
      <w:r w:rsidR="00CD1928" w:rsidRPr="00BD68B7">
        <w:t>none had any for the</w:t>
      </w:r>
      <w:r w:rsidR="006B76D2" w:rsidRPr="00BD68B7">
        <w:t xml:space="preserve"> adult</w:t>
      </w:r>
      <w:r w:rsidR="003776E9" w:rsidRPr="00BD68B7">
        <w:t xml:space="preserve"> </w:t>
      </w:r>
      <w:r w:rsidR="00CD1928" w:rsidRPr="00BD68B7">
        <w:t>perpetrators.</w:t>
      </w:r>
    </w:p>
    <w:p w14:paraId="1EEF7602" w14:textId="057E6941" w:rsidR="000B45ED" w:rsidRPr="00BD68B7" w:rsidRDefault="005C59E3" w:rsidP="0026367F">
      <w:pPr>
        <w:pStyle w:val="Leipteksti2kappalenumeroilla"/>
      </w:pPr>
      <w:r w:rsidRPr="00BD68B7">
        <w:t>The respondents in the THL survey,</w:t>
      </w:r>
      <w:r w:rsidR="009837AB" w:rsidRPr="00BD68B7">
        <w:t xml:space="preserve"> who</w:t>
      </w:r>
      <w:r w:rsidRPr="00BD68B7">
        <w:t xml:space="preserve"> </w:t>
      </w:r>
      <w:r w:rsidR="009837AB" w:rsidRPr="00BD68B7">
        <w:t xml:space="preserve">were either </w:t>
      </w:r>
      <w:r w:rsidRPr="00BD68B7">
        <w:t>coordinators for close relationship violence or ha</w:t>
      </w:r>
      <w:r w:rsidR="009837AB" w:rsidRPr="00BD68B7">
        <w:t>d</w:t>
      </w:r>
      <w:r w:rsidRPr="00BD68B7">
        <w:t xml:space="preserve"> similar responsibilities</w:t>
      </w:r>
      <w:r w:rsidR="000B45ED" w:rsidRPr="00BD68B7">
        <w:t xml:space="preserve"> at the counties</w:t>
      </w:r>
      <w:r w:rsidRPr="00BD68B7">
        <w:t xml:space="preserve">, were in favour of enacting a law </w:t>
      </w:r>
      <w:r w:rsidR="000B45ED" w:rsidRPr="00BD68B7">
        <w:t xml:space="preserve">on </w:t>
      </w:r>
      <w:r w:rsidR="00FE4F92" w:rsidRPr="00BD68B7">
        <w:t>duties to organise</w:t>
      </w:r>
      <w:r w:rsidR="000B45ED" w:rsidRPr="00BD68B7">
        <w:t xml:space="preserve"> </w:t>
      </w:r>
      <w:r w:rsidRPr="00BD68B7">
        <w:t>anti-violence work</w:t>
      </w:r>
      <w:r w:rsidR="000B45ED" w:rsidRPr="00BD68B7">
        <w:t xml:space="preserve"> on regional and local level.</w:t>
      </w:r>
    </w:p>
    <w:p w14:paraId="490BCA22" w14:textId="021374DB" w:rsidR="005C59E3" w:rsidRPr="00BD68B7" w:rsidRDefault="005C59E3" w:rsidP="0026367F">
      <w:pPr>
        <w:pStyle w:val="Leipteksti2kappalenumeroilla"/>
      </w:pPr>
      <w:r w:rsidRPr="00BD68B7">
        <w:t>The question regarding the need for legislation stems from the Government Programme of Prime Minister Orpo, according to which</w:t>
      </w:r>
      <w:r w:rsidR="00FE4F92" w:rsidRPr="00BD68B7">
        <w:t xml:space="preserve"> the</w:t>
      </w:r>
      <w:r w:rsidRPr="00BD68B7">
        <w:t xml:space="preserve"> Government will assess the need for</w:t>
      </w:r>
      <w:r w:rsidR="003D6C07">
        <w:t xml:space="preserve"> a</w:t>
      </w:r>
      <w:r w:rsidRPr="00BD68B7">
        <w:t xml:space="preserve"> binding legislation for municipalities and we</w:t>
      </w:r>
      <w:r w:rsidR="009837AB" w:rsidRPr="00BD68B7">
        <w:t>l</w:t>
      </w:r>
      <w:r w:rsidRPr="00BD68B7">
        <w:t xml:space="preserve">lbeing services counties </w:t>
      </w:r>
      <w:proofErr w:type="gramStart"/>
      <w:r w:rsidRPr="00BD68B7">
        <w:t>in order to</w:t>
      </w:r>
      <w:proofErr w:type="gramEnd"/>
      <w:r w:rsidRPr="00BD68B7">
        <w:t xml:space="preserve"> strengthen </w:t>
      </w:r>
      <w:r w:rsidR="00FE4F92" w:rsidRPr="00BD68B7">
        <w:t xml:space="preserve">the mechanisms of </w:t>
      </w:r>
      <w:r w:rsidRPr="00BD68B7">
        <w:t>anti-violence work.</w:t>
      </w:r>
    </w:p>
    <w:p w14:paraId="05BB44E2" w14:textId="540165C8" w:rsidR="00EB299E" w:rsidRPr="00BD68B7" w:rsidRDefault="00FE4F92" w:rsidP="0026367F">
      <w:pPr>
        <w:pStyle w:val="Leipteksti2kappalenumeroilla"/>
      </w:pPr>
      <w:r w:rsidRPr="00BD68B7">
        <w:t xml:space="preserve">The Ombudsman supports full and nationwide implementation of the national guidelines </w:t>
      </w:r>
      <w:r w:rsidR="00A1065A" w:rsidRPr="00BD68B7">
        <w:t>and agrees with the need for new binding legislation. L</w:t>
      </w:r>
      <w:r w:rsidR="000B45ED" w:rsidRPr="00BD68B7">
        <w:t xml:space="preserve">egislation would </w:t>
      </w:r>
      <w:r w:rsidR="00A1065A" w:rsidRPr="00BD68B7">
        <w:t xml:space="preserve">give visibility </w:t>
      </w:r>
      <w:r w:rsidRPr="00BD68B7">
        <w:t xml:space="preserve">to anti-violence </w:t>
      </w:r>
      <w:r w:rsidRPr="00BD68B7">
        <w:lastRenderedPageBreak/>
        <w:t xml:space="preserve">work, </w:t>
      </w:r>
      <w:r w:rsidR="00A1065A" w:rsidRPr="00BD68B7">
        <w:t>show commitment top-down</w:t>
      </w:r>
      <w:r w:rsidR="00F57B91" w:rsidRPr="00BD68B7">
        <w:t>,</w:t>
      </w:r>
      <w:r w:rsidR="00A1065A" w:rsidRPr="00BD68B7">
        <w:t xml:space="preserve"> and </w:t>
      </w:r>
      <w:r w:rsidR="00F57B91" w:rsidRPr="00BD68B7">
        <w:t>hopefully guarantee a coherent, minimum level of services.</w:t>
      </w:r>
    </w:p>
    <w:p w14:paraId="115F653E" w14:textId="2BA1FBE2" w:rsidR="005A3234" w:rsidRPr="00BD68B7" w:rsidRDefault="00F57B91" w:rsidP="0026367F">
      <w:pPr>
        <w:pStyle w:val="Leipteksti2kappalenumeroilla"/>
      </w:pPr>
      <w:r w:rsidRPr="00BD68B7">
        <w:t xml:space="preserve">To conclude, </w:t>
      </w:r>
      <w:r w:rsidR="00607C22" w:rsidRPr="00BD68B7">
        <w:t xml:space="preserve">the Ombudsman is concerned about the lack of institutionalised </w:t>
      </w:r>
      <w:r w:rsidRPr="00BD68B7">
        <w:t>mechanisms</w:t>
      </w:r>
      <w:r w:rsidR="00607C22" w:rsidRPr="00BD68B7">
        <w:t xml:space="preserve"> and the inadequate level of cooperation and coordination of policies. The Ombudsman calls for a coordinated, cross-sectoral policy framework which includes all levels of decision-making, that is, the national, regional, and local level.</w:t>
      </w:r>
    </w:p>
    <w:p w14:paraId="71EE171A" w14:textId="05751D18" w:rsidR="008B470A" w:rsidRPr="00BD68B7" w:rsidRDefault="00D83375" w:rsidP="00FF418C">
      <w:pPr>
        <w:pStyle w:val="Otsikko2"/>
      </w:pPr>
      <w:bookmarkStart w:id="3" w:name="_Toc154142276"/>
      <w:r w:rsidRPr="00BD68B7">
        <w:t>Article 8: Funding</w:t>
      </w:r>
      <w:bookmarkEnd w:id="3"/>
      <w:r w:rsidRPr="00BD68B7">
        <w:t xml:space="preserve"> </w:t>
      </w:r>
    </w:p>
    <w:p w14:paraId="75DBEECD" w14:textId="186949E8" w:rsidR="000F4B53" w:rsidRPr="00BD68B7" w:rsidRDefault="00192447" w:rsidP="0026367F">
      <w:pPr>
        <w:pStyle w:val="Leipteksti2kappalenumeroilla"/>
      </w:pPr>
      <w:r w:rsidRPr="00BD68B7">
        <w:t xml:space="preserve">The Ombudsman laments that the Government of Finland does not estimate </w:t>
      </w:r>
      <w:r w:rsidR="000C2EBF" w:rsidRPr="00BD68B7">
        <w:t xml:space="preserve">of </w:t>
      </w:r>
      <w:r w:rsidRPr="00BD68B7">
        <w:t>nor follow annually the overall allocations from the State Budget to measures combating violence against women and close relationship violence.</w:t>
      </w:r>
      <w:r w:rsidR="00F4345B" w:rsidRPr="00BD68B7">
        <w:t xml:space="preserve"> </w:t>
      </w:r>
      <w:r w:rsidR="009D3C0E" w:rsidRPr="00BD68B7">
        <w:t xml:space="preserve">Resorting to </w:t>
      </w:r>
      <w:r w:rsidR="00206CA4" w:rsidRPr="00BD68B7">
        <w:t xml:space="preserve">existing </w:t>
      </w:r>
      <w:r w:rsidR="00F4345B" w:rsidRPr="00BD68B7">
        <w:t xml:space="preserve">models </w:t>
      </w:r>
      <w:r w:rsidR="009D3C0E" w:rsidRPr="00BD68B7">
        <w:t>of</w:t>
      </w:r>
      <w:r w:rsidR="00F4345B" w:rsidRPr="00BD68B7">
        <w:t xml:space="preserve"> gender budgeting</w:t>
      </w:r>
      <w:r w:rsidR="009D3C0E" w:rsidRPr="00BD68B7">
        <w:t>,</w:t>
      </w:r>
      <w:r w:rsidR="00F4345B" w:rsidRPr="00BD68B7">
        <w:t xml:space="preserve"> developed </w:t>
      </w:r>
      <w:r w:rsidR="009D3C0E" w:rsidRPr="00BD68B7">
        <w:t>to national needs,</w:t>
      </w:r>
      <w:r w:rsidR="00F4345B" w:rsidRPr="00BD68B7">
        <w:t xml:space="preserve"> would be valuable</w:t>
      </w:r>
      <w:r w:rsidR="00206CA4" w:rsidRPr="00BD68B7">
        <w:t>,</w:t>
      </w:r>
      <w:r w:rsidR="00F4345B" w:rsidRPr="00BD68B7">
        <w:t xml:space="preserve"> especially in </w:t>
      </w:r>
      <w:r w:rsidR="009D3C0E" w:rsidRPr="00BD68B7">
        <w:t xml:space="preserve">current </w:t>
      </w:r>
      <w:r w:rsidR="00F4345B" w:rsidRPr="00BD68B7">
        <w:t>times of economic austerity.</w:t>
      </w:r>
    </w:p>
    <w:p w14:paraId="0856EB81" w14:textId="116520F7" w:rsidR="00BF5145" w:rsidRPr="00BD68B7" w:rsidRDefault="00D539CD" w:rsidP="0026367F">
      <w:pPr>
        <w:pStyle w:val="Leipteksti2kappalenumeroilla"/>
      </w:pPr>
      <w:r w:rsidRPr="00BD68B7">
        <w:t>For instance, the proposal for the On-Budget Expenditure 2024, drafted in January 2023, by the Ministry of Finance was EUR 87,9 billion (30.2 per cent of the GDP). When divided between On-Budget entities by different administrative branches, Social Affairs and Health was proposed to receive EUR 16.2 billion, Education and Culture EUR 8 billion, Interior 2.5 billion, and Justice EUR 1 billion. The Government aims at cutting public expenditure by EUR 4.2 billion by 2027, mostly by reducing expenditures in social and health care services, and social security and benefits.</w:t>
      </w:r>
    </w:p>
    <w:p w14:paraId="6FAE6C2F" w14:textId="561F252C" w:rsidR="000F4B53" w:rsidRDefault="000F4B53" w:rsidP="0026367F">
      <w:pPr>
        <w:pStyle w:val="Leipteksti2kappalenumeroilla"/>
      </w:pPr>
      <w:r w:rsidRPr="00BD68B7">
        <w:t>On the other hand, a recent study estimated that the annual direct costs for the healthcare caused by physical violence targeting women amount to EUR 150 million.</w:t>
      </w:r>
      <w:r w:rsidR="00AD485B" w:rsidRPr="00AD485B">
        <w:rPr>
          <w:rStyle w:val="Alaviitteenviite"/>
        </w:rPr>
        <w:t xml:space="preserve"> </w:t>
      </w:r>
      <w:r w:rsidR="00AD485B" w:rsidRPr="00BD68B7">
        <w:rPr>
          <w:rStyle w:val="Alaviitteenviite"/>
        </w:rPr>
        <w:footnoteReference w:id="3"/>
      </w:r>
      <w:r w:rsidRPr="00BD68B7">
        <w:t xml:space="preserve"> This amount excluded indirect costs such as sick leaves or periods of disability.</w:t>
      </w:r>
    </w:p>
    <w:p w14:paraId="03E1F748" w14:textId="5234CAB4" w:rsidR="00AD485B" w:rsidRPr="00BD68B7" w:rsidRDefault="00AD485B" w:rsidP="0026367F">
      <w:pPr>
        <w:pStyle w:val="Leipteksti2kappalenumeroilla"/>
      </w:pPr>
      <w:proofErr w:type="gramStart"/>
      <w:r>
        <w:t>In light of</w:t>
      </w:r>
      <w:proofErr w:type="gramEnd"/>
      <w:r>
        <w:t xml:space="preserve"> these numbers, the </w:t>
      </w:r>
      <w:r w:rsidR="00994901">
        <w:t xml:space="preserve">enlisted </w:t>
      </w:r>
      <w:r>
        <w:t>amounts of funding received</w:t>
      </w:r>
      <w:r w:rsidR="00994901">
        <w:t xml:space="preserve"> for work combatting violence against women and domestic violence in the Government’s report seem slim.</w:t>
      </w:r>
    </w:p>
    <w:p w14:paraId="1AEE3352" w14:textId="7B5C4C0C" w:rsidR="00F4345B" w:rsidRPr="00BD68B7" w:rsidRDefault="00F4345B" w:rsidP="0026367F">
      <w:pPr>
        <w:pStyle w:val="Leipteksti2kappalenumeroilla"/>
      </w:pPr>
      <w:r w:rsidRPr="00BD68B7">
        <w:t xml:space="preserve">The Government fails to give an overall picture of public funding and does not put separate </w:t>
      </w:r>
      <w:r w:rsidR="00994901">
        <w:t>appropriations</w:t>
      </w:r>
      <w:r w:rsidRPr="00BD68B7">
        <w:t xml:space="preserve"> in the wider, national context.</w:t>
      </w:r>
      <w:r w:rsidR="00ED1FA9" w:rsidRPr="00BD68B7">
        <w:t xml:space="preserve"> It would be useful to know, for instance, how much resources are allocated to </w:t>
      </w:r>
      <w:r w:rsidR="00D539CD" w:rsidRPr="00BD68B7">
        <w:t xml:space="preserve">preventive measures and support for victims in </w:t>
      </w:r>
      <w:r w:rsidR="00ED1FA9" w:rsidRPr="00BD68B7">
        <w:t xml:space="preserve">general support services in comparison </w:t>
      </w:r>
      <w:r w:rsidR="00994901">
        <w:t>to</w:t>
      </w:r>
      <w:r w:rsidR="00D539CD" w:rsidRPr="00BD68B7">
        <w:t xml:space="preserve"> </w:t>
      </w:r>
      <w:r w:rsidR="00ED1FA9" w:rsidRPr="00BD68B7">
        <w:t>specialist support services.</w:t>
      </w:r>
      <w:r w:rsidR="000F4B53" w:rsidRPr="00BD68B7">
        <w:t xml:space="preserve"> </w:t>
      </w:r>
      <w:proofErr w:type="gramStart"/>
      <w:r w:rsidR="000F4B53" w:rsidRPr="00BD68B7">
        <w:t>Taken into account</w:t>
      </w:r>
      <w:proofErr w:type="gramEnd"/>
      <w:r w:rsidR="000F4B53" w:rsidRPr="00BD68B7">
        <w:t xml:space="preserve"> economic and human loss caused by violence </w:t>
      </w:r>
      <w:r w:rsidR="000F4B53" w:rsidRPr="00BD68B7">
        <w:rPr>
          <w:lang w:eastAsia="fi-FI"/>
        </w:rPr>
        <w:t>against</w:t>
      </w:r>
      <w:r w:rsidR="000F4B53" w:rsidRPr="00BD68B7">
        <w:t xml:space="preserve"> women, the Ombudsman finds the current situation as a sign of lacking understanding what is at stake.</w:t>
      </w:r>
    </w:p>
    <w:p w14:paraId="7C7777EC" w14:textId="29441ED3" w:rsidR="00BF5145" w:rsidRPr="00BD68B7" w:rsidRDefault="00BF5145" w:rsidP="00E94594">
      <w:pPr>
        <w:pStyle w:val="Leipteksti2kappalenumeroilla"/>
        <w:rPr>
          <w:lang w:eastAsia="fi-FI"/>
        </w:rPr>
      </w:pPr>
      <w:r w:rsidRPr="00BD68B7">
        <w:rPr>
          <w:lang w:eastAsia="fi-FI"/>
        </w:rPr>
        <w:t>The wellbeing services counties receive funding from the central government and the counties themselves can decide how to use the funding.</w:t>
      </w:r>
      <w:r w:rsidR="00721771" w:rsidRPr="00BD68B7">
        <w:rPr>
          <w:lang w:eastAsia="fi-FI"/>
        </w:rPr>
        <w:t xml:space="preserve"> </w:t>
      </w:r>
      <w:r w:rsidRPr="00BD68B7">
        <w:rPr>
          <w:lang w:eastAsia="fi-FI"/>
        </w:rPr>
        <w:t>The amount is calculated annually considering several criteria, which are weighted in accordance with the Act on the Funding of Wellbeing Services Counties</w:t>
      </w:r>
      <w:r w:rsidR="00F4345B" w:rsidRPr="00BD68B7">
        <w:rPr>
          <w:lang w:eastAsia="fi-FI"/>
        </w:rPr>
        <w:t xml:space="preserve">. The criteria include </w:t>
      </w:r>
      <w:r w:rsidRPr="00BD68B7">
        <w:t>coefficients describing the need for healthcare and social welfare services</w:t>
      </w:r>
      <w:r w:rsidR="00F4345B" w:rsidRPr="00BD68B7">
        <w:t xml:space="preserve"> and regional </w:t>
      </w:r>
      <w:r w:rsidRPr="00BD68B7">
        <w:t>conditions</w:t>
      </w:r>
      <w:r w:rsidR="00F4345B" w:rsidRPr="00BD68B7">
        <w:t>, b</w:t>
      </w:r>
      <w:r w:rsidRPr="00BD68B7">
        <w:t>ilingualism</w:t>
      </w:r>
      <w:r w:rsidR="00F4345B" w:rsidRPr="00BD68B7">
        <w:t xml:space="preserve">, </w:t>
      </w:r>
      <w:r w:rsidRPr="00BD68B7">
        <w:lastRenderedPageBreak/>
        <w:t>speakers of foreign languages</w:t>
      </w:r>
      <w:r w:rsidR="00F4345B" w:rsidRPr="00BD68B7">
        <w:t xml:space="preserve">, </w:t>
      </w:r>
      <w:r w:rsidRPr="00BD68B7">
        <w:t>speakers of the Saami language</w:t>
      </w:r>
      <w:r w:rsidR="00F4345B" w:rsidRPr="00BD68B7">
        <w:t xml:space="preserve">, </w:t>
      </w:r>
      <w:r w:rsidRPr="00BD68B7">
        <w:t>population density</w:t>
      </w:r>
      <w:r w:rsidR="00F4345B" w:rsidRPr="00BD68B7">
        <w:t>,</w:t>
      </w:r>
      <w:r w:rsidRPr="00BD68B7">
        <w:t xml:space="preserve"> and area consisting of archipelago.</w:t>
      </w:r>
    </w:p>
    <w:p w14:paraId="57328B37" w14:textId="439209E0" w:rsidR="00BF5145" w:rsidRPr="00BD68B7" w:rsidRDefault="00BF5145" w:rsidP="0026367F">
      <w:pPr>
        <w:pStyle w:val="Leipteksti2kappalenumeroilla"/>
      </w:pPr>
      <w:r w:rsidRPr="00BD68B7">
        <w:t>In the Ombudsman’s view, it would be beneficial for the wellbeing services counties to assess and follow funding allocated t</w:t>
      </w:r>
      <w:r w:rsidR="00721771" w:rsidRPr="00BD68B7">
        <w:t>o</w:t>
      </w:r>
      <w:r w:rsidRPr="00BD68B7">
        <w:t xml:space="preserve"> prevention of violence</w:t>
      </w:r>
      <w:r w:rsidR="00E94594">
        <w:t>. Also, measures combatting explicitly violence with a gender-sensitive approach could be introduced in the general funding criteria for different counties.</w:t>
      </w:r>
    </w:p>
    <w:p w14:paraId="5359D5F2" w14:textId="0CA874C7" w:rsidR="003A766F" w:rsidRPr="00BD68B7" w:rsidRDefault="003A766F" w:rsidP="0026367F">
      <w:pPr>
        <w:pStyle w:val="Leipteksti2kappalenumeroilla"/>
      </w:pPr>
      <w:r w:rsidRPr="00BD68B7">
        <w:t xml:space="preserve">The Ombudsman wants also </w:t>
      </w:r>
      <w:r w:rsidR="001E5981">
        <w:t xml:space="preserve">to </w:t>
      </w:r>
      <w:r w:rsidRPr="00BD68B7">
        <w:t xml:space="preserve">note that many </w:t>
      </w:r>
      <w:r w:rsidR="00585905">
        <w:t>non-governmental organisations (</w:t>
      </w:r>
      <w:r w:rsidRPr="00BD68B7">
        <w:t>NGOs</w:t>
      </w:r>
      <w:r w:rsidR="00585905">
        <w:t>)</w:t>
      </w:r>
      <w:r w:rsidRPr="00BD68B7">
        <w:t xml:space="preserve"> and CSOs provide services and expertise in work combating violence against women. NGO funding is granted by the Funding Centre for Social Welfare and Health Organisations</w:t>
      </w:r>
      <w:r w:rsidR="00C02664">
        <w:t xml:space="preserve"> (STEA)</w:t>
      </w:r>
      <w:r w:rsidRPr="00BD68B7">
        <w:t>, which to a large extent grants temporary funding. Dependency on temporary grants makes the work then fragmented and short-sighted.</w:t>
      </w:r>
    </w:p>
    <w:p w14:paraId="63401F8C" w14:textId="02067EE4" w:rsidR="00CD364D" w:rsidRPr="00BD68B7" w:rsidRDefault="00D0144C" w:rsidP="0026367F">
      <w:pPr>
        <w:pStyle w:val="Leipteksti2kappalenumeroilla"/>
      </w:pPr>
      <w:r w:rsidRPr="00BD68B7">
        <w:t xml:space="preserve">The </w:t>
      </w:r>
      <w:r w:rsidR="002540C2" w:rsidRPr="00BD68B7">
        <w:t xml:space="preserve">IC </w:t>
      </w:r>
      <w:r w:rsidRPr="00BD68B7">
        <w:t xml:space="preserve">Action Plan </w:t>
      </w:r>
      <w:r w:rsidR="0063712D" w:rsidRPr="00BD68B7">
        <w:t>2022</w:t>
      </w:r>
      <w:r w:rsidR="00C22749" w:rsidRPr="00BD68B7">
        <w:t>–</w:t>
      </w:r>
      <w:r w:rsidR="0063712D" w:rsidRPr="00BD68B7">
        <w:t>2025</w:t>
      </w:r>
      <w:r w:rsidR="00B70330" w:rsidRPr="00BD68B7">
        <w:t xml:space="preserve"> is </w:t>
      </w:r>
      <w:r w:rsidR="00BA5D7E" w:rsidRPr="00BD68B7">
        <w:t xml:space="preserve">supposed to be implemented without </w:t>
      </w:r>
      <w:r w:rsidRPr="00BD68B7">
        <w:t>any budgetary funding</w:t>
      </w:r>
      <w:r w:rsidR="00BA5D7E" w:rsidRPr="00BD68B7">
        <w:t>. It was given though an extra</w:t>
      </w:r>
      <w:r w:rsidRPr="00BD68B7">
        <w:t xml:space="preserve"> EUR 600.000 by the Finance Committee of the Parliament</w:t>
      </w:r>
      <w:r w:rsidR="00BA5D7E" w:rsidRPr="00BD68B7">
        <w:t xml:space="preserve"> in </w:t>
      </w:r>
      <w:r w:rsidR="002540C2" w:rsidRPr="00BD68B7">
        <w:t>December 2022</w:t>
      </w:r>
      <w:r w:rsidR="00C22749">
        <w:t xml:space="preserve">, </w:t>
      </w:r>
      <w:r w:rsidR="00BA5D7E" w:rsidRPr="00BD68B7">
        <w:t xml:space="preserve">of </w:t>
      </w:r>
      <w:r w:rsidRPr="00BD68B7">
        <w:t>a total increase of EUR 40 million to the State Budget.</w:t>
      </w:r>
      <w:r w:rsidR="002540C2" w:rsidRPr="00BD68B7">
        <w:t xml:space="preserve"> In December 2023, </w:t>
      </w:r>
      <w:r w:rsidR="00BA5D7E" w:rsidRPr="00BD68B7">
        <w:t xml:space="preserve">no more funding </w:t>
      </w:r>
      <w:r w:rsidR="00C10E4E">
        <w:t xml:space="preserve">was </w:t>
      </w:r>
      <w:r w:rsidR="00BA5D7E" w:rsidRPr="00BD68B7">
        <w:t xml:space="preserve">granted </w:t>
      </w:r>
      <w:r w:rsidR="00C10E4E">
        <w:t>for</w:t>
      </w:r>
      <w:r w:rsidR="00BA5D7E" w:rsidRPr="00BD68B7">
        <w:t xml:space="preserve"> the implementation of </w:t>
      </w:r>
      <w:r w:rsidR="00C10E4E">
        <w:t xml:space="preserve">the </w:t>
      </w:r>
      <w:r w:rsidR="002540C2" w:rsidRPr="00BD68B7">
        <w:t>IC Action Plan</w:t>
      </w:r>
      <w:r w:rsidR="00BA5D7E" w:rsidRPr="00BD68B7">
        <w:t>.</w:t>
      </w:r>
    </w:p>
    <w:p w14:paraId="23D5CA76" w14:textId="77777777" w:rsidR="00E3653D" w:rsidRPr="00BD68B7" w:rsidRDefault="00E3653D" w:rsidP="00E3653D">
      <w:pPr>
        <w:pStyle w:val="Eivli"/>
      </w:pPr>
    </w:p>
    <w:p w14:paraId="322D27CA" w14:textId="5C88DF94" w:rsidR="00D83375" w:rsidRPr="00BD68B7" w:rsidRDefault="00D83375" w:rsidP="00EE3E96">
      <w:pPr>
        <w:pStyle w:val="Otsikko2"/>
      </w:pPr>
      <w:bookmarkStart w:id="4" w:name="_Toc154142277"/>
      <w:r w:rsidRPr="00BD68B7">
        <w:t>Article 11: Data collection and research</w:t>
      </w:r>
      <w:bookmarkEnd w:id="4"/>
      <w:r w:rsidRPr="00BD68B7">
        <w:t xml:space="preserve"> </w:t>
      </w:r>
    </w:p>
    <w:p w14:paraId="2F795A3D" w14:textId="1CE7084F" w:rsidR="003072CB" w:rsidRPr="00BD68B7" w:rsidRDefault="00A52E1A" w:rsidP="0026367F">
      <w:pPr>
        <w:pStyle w:val="Leipteksti2kappalenumeroilla"/>
      </w:pPr>
      <w:r w:rsidRPr="00BD68B7">
        <w:t xml:space="preserve">There </w:t>
      </w:r>
      <w:r w:rsidR="00E23659" w:rsidRPr="00BD68B7">
        <w:t>is no comprehensive database on the prevalence of different forms of violence against women</w:t>
      </w:r>
      <w:r w:rsidR="00334F9D" w:rsidRPr="00BD68B7">
        <w:t xml:space="preserve"> in Finland</w:t>
      </w:r>
      <w:r w:rsidR="00E23659" w:rsidRPr="00BD68B7">
        <w:t>. Currently, information needs to be gathered from different sources, that is, from different statistics, surveys, and research outputs</w:t>
      </w:r>
      <w:r w:rsidR="003072CB" w:rsidRPr="00BD68B7">
        <w:t xml:space="preserve"> resulting in inconsistency</w:t>
      </w:r>
      <w:r w:rsidR="00A44EF2" w:rsidRPr="00BD68B7">
        <w:t>,</w:t>
      </w:r>
      <w:r w:rsidR="003072CB" w:rsidRPr="00BD68B7">
        <w:t xml:space="preserve"> and inability to compare </w:t>
      </w:r>
      <w:r w:rsidR="00F450AF" w:rsidRPr="00BD68B7">
        <w:t>results</w:t>
      </w:r>
      <w:r w:rsidRPr="00BD68B7">
        <w:t>.</w:t>
      </w:r>
      <w:r w:rsidR="003072CB" w:rsidRPr="00BD68B7">
        <w:t xml:space="preserve"> Furthermore, many national surveys touch upon violence, as </w:t>
      </w:r>
      <w:r w:rsidR="00F450AF" w:rsidRPr="00BD68B7">
        <w:t xml:space="preserve">shown </w:t>
      </w:r>
      <w:r w:rsidR="003072CB" w:rsidRPr="00BD68B7">
        <w:t>in the Government’s report, but women’s experiences on personal safety, security and well-being are seldom of explicit interest. Thus, framing of questions often demonstrate lack of understanding violence as a gendered phenomenon.</w:t>
      </w:r>
    </w:p>
    <w:p w14:paraId="45EF161B" w14:textId="694E7614" w:rsidR="004E44BE" w:rsidRPr="00BD68B7" w:rsidRDefault="00BC04ED" w:rsidP="0026367F">
      <w:pPr>
        <w:pStyle w:val="Leipteksti2kappalenumeroilla"/>
        <w:rPr>
          <w:lang w:eastAsia="fi-FI"/>
        </w:rPr>
      </w:pPr>
      <w:r w:rsidRPr="00BD68B7">
        <w:t>On the one hand, two r</w:t>
      </w:r>
      <w:r w:rsidR="001571B7" w:rsidRPr="00BD68B7">
        <w:t xml:space="preserve">ecent nation-wide surveys have shown alarmingly </w:t>
      </w:r>
      <w:r w:rsidR="005F74DF" w:rsidRPr="00BD68B7">
        <w:t xml:space="preserve">high prevalence of intimate partner violence </w:t>
      </w:r>
      <w:r w:rsidR="00684E79" w:rsidRPr="00BD68B7">
        <w:t xml:space="preserve">(IPV) </w:t>
      </w:r>
      <w:r w:rsidR="005F74DF" w:rsidRPr="00BD68B7">
        <w:t xml:space="preserve">and sexual violence against women </w:t>
      </w:r>
      <w:r w:rsidR="001C2D3D" w:rsidRPr="00BD68B7">
        <w:t>as well as sexual harassment of girls.</w:t>
      </w:r>
      <w:r w:rsidR="00A22C5E">
        <w:rPr>
          <w:rStyle w:val="Alaviitteenviite"/>
        </w:rPr>
        <w:footnoteReference w:id="4"/>
      </w:r>
      <w:r w:rsidR="001C2D3D" w:rsidRPr="00BD68B7">
        <w:t xml:space="preserve"> </w:t>
      </w:r>
      <w:r w:rsidRPr="00BD68B7">
        <w:rPr>
          <w:lang w:eastAsia="fi-FI"/>
        </w:rPr>
        <w:t>E</w:t>
      </w:r>
      <w:r w:rsidR="001571B7" w:rsidRPr="00BD68B7">
        <w:rPr>
          <w:lang w:eastAsia="fi-FI"/>
        </w:rPr>
        <w:t xml:space="preserve">specially </w:t>
      </w:r>
      <w:r w:rsidR="004E44BE" w:rsidRPr="00BD68B7">
        <w:rPr>
          <w:lang w:eastAsia="fi-FI"/>
        </w:rPr>
        <w:t xml:space="preserve">young women are exposed to violence </w:t>
      </w:r>
      <w:r w:rsidR="00A22C5E">
        <w:rPr>
          <w:lang w:eastAsia="fi-FI"/>
        </w:rPr>
        <w:t>when</w:t>
      </w:r>
      <w:r w:rsidR="004E44BE" w:rsidRPr="00BD68B7">
        <w:rPr>
          <w:lang w:eastAsia="fi-FI"/>
        </w:rPr>
        <w:t xml:space="preserve"> dating</w:t>
      </w:r>
      <w:r w:rsidR="00A22C5E">
        <w:rPr>
          <w:lang w:eastAsia="fi-FI"/>
        </w:rPr>
        <w:t xml:space="preserve">, </w:t>
      </w:r>
      <w:r w:rsidR="004E44BE" w:rsidRPr="00BD68B7">
        <w:rPr>
          <w:lang w:eastAsia="fi-FI"/>
        </w:rPr>
        <w:t>as well as in other close relationships, online and in work life</w:t>
      </w:r>
      <w:r w:rsidR="001571B7" w:rsidRPr="00BD68B7">
        <w:rPr>
          <w:lang w:eastAsia="fi-FI"/>
        </w:rPr>
        <w:t>, and</w:t>
      </w:r>
      <w:r w:rsidR="004E44BE" w:rsidRPr="00BD68B7">
        <w:rPr>
          <w:lang w:eastAsia="fi-FI"/>
        </w:rPr>
        <w:t xml:space="preserve"> almost half of the 16–17-year-old girls who had dating experience had experienced physical or sexual violence from their partner. Almost half (45%) of 8th and 9th grade girls </w:t>
      </w:r>
      <w:r w:rsidR="001571B7" w:rsidRPr="00BD68B7">
        <w:rPr>
          <w:lang w:eastAsia="fi-FI"/>
        </w:rPr>
        <w:t xml:space="preserve">(aged between 14 and 16 years) </w:t>
      </w:r>
      <w:r w:rsidR="004E44BE" w:rsidRPr="00BD68B7">
        <w:rPr>
          <w:lang w:eastAsia="fi-FI"/>
        </w:rPr>
        <w:t>said they had experienced sexual harassment.</w:t>
      </w:r>
    </w:p>
    <w:p w14:paraId="5D1C8277" w14:textId="14B7DC8D" w:rsidR="006528DB" w:rsidRPr="00BD68B7" w:rsidRDefault="001571B7" w:rsidP="0026367F">
      <w:pPr>
        <w:pStyle w:val="Leipteksti2kappalenumeroilla"/>
      </w:pPr>
      <w:r w:rsidRPr="00BD68B7">
        <w:t xml:space="preserve">The Ombudsman notes with concern </w:t>
      </w:r>
      <w:r w:rsidR="005F74DF" w:rsidRPr="00BD68B7">
        <w:t>that there seems to be no signs of decreas</w:t>
      </w:r>
      <w:r w:rsidR="001C2D3D" w:rsidRPr="00BD68B7">
        <w:t>e in</w:t>
      </w:r>
      <w:r w:rsidR="005F74DF" w:rsidRPr="00BD68B7">
        <w:t xml:space="preserve"> prevalence</w:t>
      </w:r>
      <w:r w:rsidR="001C2D3D" w:rsidRPr="00BD68B7">
        <w:t>.</w:t>
      </w:r>
      <w:r w:rsidRPr="00BD68B7">
        <w:t xml:space="preserve"> The previous population wide survey, the FRA Violence against Women Survey 2014</w:t>
      </w:r>
      <w:r w:rsidR="00531416" w:rsidRPr="00BD68B7">
        <w:t>,</w:t>
      </w:r>
      <w:r w:rsidRPr="00BD68B7">
        <w:t xml:space="preserve"> showed similar numbers of prevalence</w:t>
      </w:r>
      <w:r w:rsidR="00531416" w:rsidRPr="00BD68B7">
        <w:t xml:space="preserve"> of IPV in Finland</w:t>
      </w:r>
      <w:r w:rsidRPr="00BD68B7">
        <w:t>.</w:t>
      </w:r>
    </w:p>
    <w:p w14:paraId="6C94CB56" w14:textId="58454D40" w:rsidR="009C2091" w:rsidRPr="00BD68B7" w:rsidRDefault="009C2091" w:rsidP="0026367F">
      <w:pPr>
        <w:pStyle w:val="Leipteksti2kappalenumeroilla"/>
      </w:pPr>
      <w:r w:rsidRPr="00BD68B7">
        <w:t>The Ombudsman underlines the need to follow prevalence of different forms of VAW on a regular basis and to compare the results with previous years and to other countries in the Nordic and European context.</w:t>
      </w:r>
      <w:r w:rsidR="00CB1638" w:rsidRPr="00BD68B7">
        <w:t xml:space="preserve"> The Gender Based Violence Survey, now in 2021 conducted by Statistics Finland and funded by Eurostat, should be repeated nationally systematically.</w:t>
      </w:r>
    </w:p>
    <w:p w14:paraId="169F80DC" w14:textId="726520B9" w:rsidR="00A52E1A" w:rsidRPr="00BD68B7" w:rsidRDefault="00E23659" w:rsidP="0026367F">
      <w:pPr>
        <w:pStyle w:val="Leipteksti2kappalenumeroilla"/>
      </w:pPr>
      <w:r w:rsidRPr="00BD68B7">
        <w:lastRenderedPageBreak/>
        <w:t>Regarding the Finnish criminal legal system, it is difficult to assess its capacity to protect victims from violence and victims’ access to justice due to lack of available and accessible data.</w:t>
      </w:r>
    </w:p>
    <w:p w14:paraId="459A47B2" w14:textId="6393AA01" w:rsidR="00A52E1A" w:rsidRPr="00BD68B7" w:rsidRDefault="00E23659" w:rsidP="0026367F">
      <w:pPr>
        <w:pStyle w:val="Leipteksti2kappalenumeroilla"/>
      </w:pPr>
      <w:r w:rsidRPr="00BD68B7">
        <w:t>Statistics Finland provides statistical data on close relationship violence considered by the criminal investigation authorities. In 2021, almost 70 per cent of the total of approximately 11,000 victims of violence in a close relationship were women.</w:t>
      </w:r>
      <w:r w:rsidRPr="00BD68B7">
        <w:rPr>
          <w:rStyle w:val="Alaviitteenviite"/>
        </w:rPr>
        <w:footnoteReference w:id="5"/>
      </w:r>
      <w:r w:rsidRPr="00BD68B7">
        <w:t xml:space="preserve"> Unfortunately, when public authorities make further decisions </w:t>
      </w:r>
      <w:r w:rsidR="00CB1638" w:rsidRPr="00BD68B7">
        <w:t>on whether to proceed or not with cases</w:t>
      </w:r>
      <w:r w:rsidRPr="00BD68B7">
        <w:t>, it is not possible to sort out cases of close relationship violence from other types of violence.</w:t>
      </w:r>
    </w:p>
    <w:p w14:paraId="5990FD14" w14:textId="66B988B2" w:rsidR="00A52E1A" w:rsidRPr="00BD68B7" w:rsidRDefault="003072CB" w:rsidP="0026367F">
      <w:pPr>
        <w:pStyle w:val="Leipteksti2kappalenumeroilla"/>
      </w:pPr>
      <w:r w:rsidRPr="00BD68B7">
        <w:t xml:space="preserve">The Ombudsman considers it of utmost importance to ensure that new operational systems of the investigating authorities render possible better data collection and analysis of close relationship violence. </w:t>
      </w:r>
      <w:r w:rsidR="009C2091" w:rsidRPr="00BD68B7">
        <w:t>Unfortunately,</w:t>
      </w:r>
      <w:r w:rsidRPr="00BD68B7">
        <w:t xml:space="preserve"> it seems that </w:t>
      </w:r>
      <w:r w:rsidR="00E23659" w:rsidRPr="00BD68B7">
        <w:t xml:space="preserve">the introduction of the new operational system of the police, called </w:t>
      </w:r>
      <w:proofErr w:type="spellStart"/>
      <w:r w:rsidR="00E23659" w:rsidRPr="00BD68B7">
        <w:t>Vitja</w:t>
      </w:r>
      <w:proofErr w:type="spellEnd"/>
      <w:r w:rsidR="00E23659" w:rsidRPr="00BD68B7">
        <w:t xml:space="preserve">, has </w:t>
      </w:r>
      <w:r w:rsidRPr="00BD68B7">
        <w:t xml:space="preserve">not only </w:t>
      </w:r>
      <w:r w:rsidR="00CB1638" w:rsidRPr="00BD68B7">
        <w:t xml:space="preserve">been </w:t>
      </w:r>
      <w:r w:rsidR="00E23659" w:rsidRPr="00BD68B7">
        <w:t>delayed</w:t>
      </w:r>
      <w:r w:rsidRPr="00BD68B7">
        <w:t xml:space="preserve"> but possibly suspended</w:t>
      </w:r>
      <w:r w:rsidR="00E23659" w:rsidRPr="00BD68B7">
        <w:t xml:space="preserve">. </w:t>
      </w:r>
      <w:r w:rsidR="009C2091" w:rsidRPr="00BD68B7">
        <w:t>With respect to prosecution, it should be ensured that t</w:t>
      </w:r>
      <w:r w:rsidR="00E23659" w:rsidRPr="00BD68B7">
        <w:t xml:space="preserve">he National Prosecution Authority’s new information system, AIPA, will enable targeted collection of </w:t>
      </w:r>
      <w:r w:rsidR="009C2091" w:rsidRPr="00BD68B7">
        <w:t>close relationship</w:t>
      </w:r>
      <w:r w:rsidR="00E23659" w:rsidRPr="00BD68B7">
        <w:t xml:space="preserve"> violence cases from other cases of violence.</w:t>
      </w:r>
    </w:p>
    <w:p w14:paraId="5ACF6A08" w14:textId="5DDA5678" w:rsidR="00A52E1A" w:rsidRPr="00BD68B7" w:rsidRDefault="009C2091" w:rsidP="0026367F">
      <w:pPr>
        <w:pStyle w:val="Leipteksti2kappalenumeroilla"/>
      </w:pPr>
      <w:r w:rsidRPr="00BD68B7">
        <w:t>Overall, i</w:t>
      </w:r>
      <w:r w:rsidR="00E23659" w:rsidRPr="00BD68B7">
        <w:t>n the Ombudsman’s view, public registers and statistics should be developed with the aim to better follow the trends of the prevalence of violence against women. A knowledge-based strategy plays a key factor when assessing the effectiveness of chosen measures.</w:t>
      </w:r>
    </w:p>
    <w:p w14:paraId="22DBC5E7" w14:textId="746463A1" w:rsidR="00CF6A87" w:rsidRPr="00BD68B7" w:rsidRDefault="00CF6A87" w:rsidP="0026367F">
      <w:pPr>
        <w:pStyle w:val="Leipteksti2kappalenumeroilla"/>
      </w:pPr>
      <w:r w:rsidRPr="00BD68B7">
        <w:t>No public authority or research institution has been given the specific duty to collect and analyse data on violence against women. Notwithstanding, according to the Decree on the NAPE Committee, the Committee ‘coordinates data collection referred to in Article 11 of the Istanbul Convention, assesses it, and reports its results’. It seems that the NAPE Committee has yet to demonstrate how to exercise its task</w:t>
      </w:r>
      <w:r w:rsidR="00CB1638" w:rsidRPr="00BD68B7">
        <w:t>s</w:t>
      </w:r>
      <w:r w:rsidRPr="00BD68B7">
        <w:t xml:space="preserve"> with this respect.</w:t>
      </w:r>
    </w:p>
    <w:p w14:paraId="197E71AD" w14:textId="37FD2056" w:rsidR="00CF6A87" w:rsidRPr="00BD68B7" w:rsidRDefault="00CF6A87" w:rsidP="0026367F">
      <w:pPr>
        <w:pStyle w:val="Leipteksti2kappalenumeroilla"/>
      </w:pPr>
      <w:r w:rsidRPr="00BD68B7">
        <w:t>The Ombudsman urges public authorities to follow the prevalence of different types of violence against women, the effectiveness of preventive measures, victims’ access to services, and the handling of violence in criminal legal proceedings in a systematic manner. Data collection and analysis should be comparable in a long-term basis.</w:t>
      </w:r>
    </w:p>
    <w:p w14:paraId="7BA05CB5" w14:textId="7D11DD00" w:rsidR="00D83375" w:rsidRPr="00BD68B7" w:rsidRDefault="00D83375" w:rsidP="00B05E26">
      <w:pPr>
        <w:pStyle w:val="Otsikko1"/>
      </w:pPr>
      <w:bookmarkStart w:id="5" w:name="_Toc154142278"/>
      <w:r w:rsidRPr="00BD68B7">
        <w:t xml:space="preserve">Part II: Information on the implementation of selected provisions in priority areas in the field of prevention, </w:t>
      </w:r>
      <w:proofErr w:type="gramStart"/>
      <w:r w:rsidRPr="00BD68B7">
        <w:t>protection</w:t>
      </w:r>
      <w:proofErr w:type="gramEnd"/>
      <w:r w:rsidRPr="00BD68B7">
        <w:t xml:space="preserve"> and prosecution</w:t>
      </w:r>
      <w:bookmarkEnd w:id="5"/>
      <w:r w:rsidRPr="00BD68B7">
        <w:t xml:space="preserve"> </w:t>
      </w:r>
    </w:p>
    <w:p w14:paraId="3B73BC32" w14:textId="77777777" w:rsidR="00D83375" w:rsidRPr="00BD68B7" w:rsidRDefault="00D83375" w:rsidP="00EE3E96">
      <w:pPr>
        <w:pStyle w:val="Otsikko2"/>
      </w:pPr>
      <w:bookmarkStart w:id="6" w:name="_Toc154142279"/>
      <w:r w:rsidRPr="00BD68B7">
        <w:t>Article 12: General obligations</w:t>
      </w:r>
      <w:bookmarkEnd w:id="6"/>
      <w:r w:rsidRPr="00BD68B7">
        <w:t xml:space="preserve"> </w:t>
      </w:r>
    </w:p>
    <w:p w14:paraId="42F84313" w14:textId="2F322EF7" w:rsidR="006F0D6D" w:rsidRPr="00BD68B7" w:rsidRDefault="006F0D6D" w:rsidP="00A071B5">
      <w:pPr>
        <w:pStyle w:val="Leipteksti2kappalenumeroilla"/>
      </w:pPr>
      <w:r w:rsidRPr="00BD68B7">
        <w:t>The IC Action Plan 2022</w:t>
      </w:r>
      <w:r w:rsidR="00A071B5" w:rsidRPr="00BD68B7">
        <w:rPr>
          <w:lang w:eastAsia="fi-FI"/>
        </w:rPr>
        <w:t>–</w:t>
      </w:r>
      <w:r w:rsidRPr="00BD68B7">
        <w:t xml:space="preserve">2025 does not address primary preventive measures. </w:t>
      </w:r>
      <w:r w:rsidR="00BC050F" w:rsidRPr="00BD68B7">
        <w:t>T</w:t>
      </w:r>
      <w:r w:rsidRPr="00BD68B7">
        <w:t xml:space="preserve">he Action Plan refers to Article 12 and </w:t>
      </w:r>
      <w:r w:rsidR="00BC050F" w:rsidRPr="00BD68B7">
        <w:t xml:space="preserve">to </w:t>
      </w:r>
      <w:r w:rsidRPr="00BD68B7">
        <w:t>GREVIO’s previous recommendations, and states that all groups</w:t>
      </w:r>
      <w:r w:rsidR="00BC050F" w:rsidRPr="00BD68B7">
        <w:t>, including men and boys,</w:t>
      </w:r>
      <w:r w:rsidRPr="00BD68B7">
        <w:t xml:space="preserve"> should have access to </w:t>
      </w:r>
      <w:r w:rsidR="00BC050F" w:rsidRPr="00BD68B7">
        <w:t xml:space="preserve">better understanding and knowledge. However, there have </w:t>
      </w:r>
      <w:r w:rsidR="00BC050F" w:rsidRPr="00BD68B7">
        <w:lastRenderedPageBreak/>
        <w:t xml:space="preserve">not been any continuous efforts with this aim apart from disseminating information </w:t>
      </w:r>
      <w:r w:rsidR="00A071B5">
        <w:t xml:space="preserve">on gender equality and gender-based violence </w:t>
      </w:r>
      <w:r w:rsidR="00BC050F" w:rsidRPr="00BD68B7">
        <w:t>to migrants and professionals working with migrants.</w:t>
      </w:r>
    </w:p>
    <w:p w14:paraId="6A12BED1" w14:textId="58605E67" w:rsidR="006F0D6D" w:rsidRPr="00BD68B7" w:rsidRDefault="003442D2" w:rsidP="0026367F">
      <w:pPr>
        <w:pStyle w:val="Leipteksti2kappalenumeroilla"/>
      </w:pPr>
      <w:r w:rsidRPr="00BD68B7">
        <w:t>According to t</w:t>
      </w:r>
      <w:r w:rsidR="008C41E7" w:rsidRPr="00BD68B7">
        <w:t>he Government Programme of Prime Minister Orpo</w:t>
      </w:r>
      <w:r w:rsidRPr="00BD68B7">
        <w:t xml:space="preserve">, the Government combats VAW by strengthening prevention and recognition of VAW particularly by public authorities, in municipalities and </w:t>
      </w:r>
      <w:r w:rsidR="00010E4B">
        <w:t>wellbeing services</w:t>
      </w:r>
      <w:r w:rsidRPr="00BD68B7">
        <w:t xml:space="preserve"> counties. It is not known</w:t>
      </w:r>
      <w:r w:rsidR="00E36872" w:rsidRPr="00BD68B7">
        <w:t>, though,</w:t>
      </w:r>
      <w:r w:rsidRPr="00BD68B7">
        <w:t xml:space="preserve"> if this aim will materialise in </w:t>
      </w:r>
      <w:r w:rsidR="00E36872" w:rsidRPr="00BD68B7">
        <w:t xml:space="preserve">any </w:t>
      </w:r>
      <w:r w:rsidRPr="00BD68B7">
        <w:t>concrete measures and funding.</w:t>
      </w:r>
      <w:r w:rsidR="008A4963" w:rsidRPr="00BD68B7">
        <w:t xml:space="preserve"> The Ombudsman recommends the Government to </w:t>
      </w:r>
      <w:r w:rsidR="00010E4B">
        <w:t xml:space="preserve">consider </w:t>
      </w:r>
      <w:r w:rsidR="008A4963" w:rsidRPr="00BD68B7">
        <w:t>prevention of VAW in its Gender Equality Action Plan</w:t>
      </w:r>
      <w:r w:rsidR="00010E4B">
        <w:t>,</w:t>
      </w:r>
      <w:r w:rsidR="008A4963" w:rsidRPr="00BD68B7">
        <w:t xml:space="preserve"> currently under preparations. </w:t>
      </w:r>
      <w:r w:rsidR="00E36872" w:rsidRPr="00BD68B7">
        <w:t xml:space="preserve">This GE Action Plan should </w:t>
      </w:r>
      <w:r w:rsidR="00010E4B" w:rsidRPr="00BD68B7">
        <w:t>also acknowledge</w:t>
      </w:r>
      <w:r w:rsidR="00010E4B">
        <w:t xml:space="preserve"> the IC Action Plan and </w:t>
      </w:r>
      <w:r w:rsidR="00A73CC8" w:rsidRPr="00BD68B7">
        <w:t>the</w:t>
      </w:r>
      <w:r w:rsidR="00E36872" w:rsidRPr="00BD68B7">
        <w:t xml:space="preserve"> </w:t>
      </w:r>
      <w:r w:rsidR="008A4963" w:rsidRPr="00BD68B7">
        <w:t xml:space="preserve">NAPE Committee’s role </w:t>
      </w:r>
      <w:r w:rsidR="00E36872" w:rsidRPr="00BD68B7">
        <w:t>in coordinating policy measures combatting VAW.</w:t>
      </w:r>
    </w:p>
    <w:p w14:paraId="6CB3774B" w14:textId="1E3C202F" w:rsidR="00AF020F" w:rsidRPr="00BD68B7" w:rsidRDefault="00B8328A" w:rsidP="0026367F">
      <w:pPr>
        <w:pStyle w:val="Leipteksti2kappalenumeroilla"/>
      </w:pPr>
      <w:r w:rsidRPr="00BD68B7">
        <w:t>The national legislation, namely the Act on Equality between Women and Men (aka Gender Equality Act</w:t>
      </w:r>
      <w:r w:rsidR="00CE1D29" w:rsidRPr="00BD68B7">
        <w:t xml:space="preserve"> or ‘GEA’) and the Non-discrimination Act (‘NDA’) oblige public authorities, educational and early childhood educational institutions, and employers to actively promote equality and combat discrimination on multiple grounds. </w:t>
      </w:r>
      <w:r w:rsidR="00AF020F" w:rsidRPr="00BD68B7">
        <w:t>T</w:t>
      </w:r>
      <w:r w:rsidR="00CE1D29" w:rsidRPr="00BD68B7">
        <w:t>hese proactive measures have a long tradition in Finland, they are promoted by the National Authority for Education</w:t>
      </w:r>
      <w:r w:rsidR="00010E4B">
        <w:t>,</w:t>
      </w:r>
      <w:r w:rsidR="00CE1D29" w:rsidRPr="00BD68B7">
        <w:t xml:space="preserve"> and monitored by the Ombudsman for Equality and the Non-Discrimination Ombudsman</w:t>
      </w:r>
      <w:r w:rsidR="00AF020F" w:rsidRPr="00BD68B7">
        <w:t xml:space="preserve">. Thus, in the Ombudsman’s view, </w:t>
      </w:r>
      <w:r w:rsidR="00CE1D29" w:rsidRPr="00BD68B7">
        <w:t>it would be</w:t>
      </w:r>
      <w:r w:rsidR="0098699D" w:rsidRPr="00BD68B7">
        <w:t xml:space="preserve"> convenient and </w:t>
      </w:r>
      <w:r w:rsidR="00010E4B">
        <w:t>efficient</w:t>
      </w:r>
      <w:r w:rsidR="00AF020F" w:rsidRPr="00BD68B7">
        <w:t xml:space="preserve"> to incorporate systematically obligations laid down in Article 12 of the Istanbul Convention in these</w:t>
      </w:r>
      <w:r w:rsidR="00010E4B">
        <w:t>, somewhat well-established and commonly known</w:t>
      </w:r>
      <w:r w:rsidR="00AF020F" w:rsidRPr="00BD68B7">
        <w:t xml:space="preserve"> measures.</w:t>
      </w:r>
    </w:p>
    <w:p w14:paraId="244A278D" w14:textId="72A6442C" w:rsidR="0036331D" w:rsidRPr="00BD68B7" w:rsidRDefault="00D83375" w:rsidP="0096178A">
      <w:pPr>
        <w:pStyle w:val="Otsikko2"/>
        <w:rPr>
          <w:color w:val="auto"/>
          <w:szCs w:val="22"/>
        </w:rPr>
      </w:pPr>
      <w:bookmarkStart w:id="7" w:name="_Toc154142280"/>
      <w:r w:rsidRPr="00BD68B7">
        <w:t>Article 14: Education</w:t>
      </w:r>
      <w:bookmarkEnd w:id="7"/>
    </w:p>
    <w:p w14:paraId="312A5125" w14:textId="50820C96" w:rsidR="0036331D" w:rsidRPr="00BD68B7" w:rsidRDefault="0036331D" w:rsidP="0026367F">
      <w:pPr>
        <w:pStyle w:val="Leipteksti2kappalenumeroilla"/>
      </w:pPr>
      <w:r w:rsidRPr="00BD68B7">
        <w:t>As noted above, the first pillar of the IC is absent in the IC Action Plan</w:t>
      </w:r>
      <w:r w:rsidR="00010E4B">
        <w:t>,</w:t>
      </w:r>
      <w:r w:rsidRPr="00BD68B7">
        <w:t xml:space="preserve"> and gender-based violence against women and girls is not explicitly referred </w:t>
      </w:r>
      <w:r w:rsidR="00010E4B">
        <w:t xml:space="preserve">to </w:t>
      </w:r>
      <w:r w:rsidRPr="00BD68B7">
        <w:t xml:space="preserve">in the legal provisions on duties to promote equality. The Ombudsman </w:t>
      </w:r>
      <w:r w:rsidR="002A13FE" w:rsidRPr="00BD68B7">
        <w:t xml:space="preserve">laments this, and </w:t>
      </w:r>
      <w:r w:rsidR="00010E4B">
        <w:t xml:space="preserve">partly </w:t>
      </w:r>
      <w:r w:rsidR="002A13FE" w:rsidRPr="00BD68B7">
        <w:t xml:space="preserve">to compensate, the Ombudsman organised a roundtable discussion in June 2023 on sexual education and violence with the aim to get a </w:t>
      </w:r>
      <w:r w:rsidR="00010E4B">
        <w:t>situation analysis</w:t>
      </w:r>
      <w:r w:rsidR="002A13FE" w:rsidRPr="00BD68B7">
        <w:t xml:space="preserve">, to </w:t>
      </w:r>
      <w:r w:rsidR="00010E4B">
        <w:t xml:space="preserve">identify the </w:t>
      </w:r>
      <w:r w:rsidR="002A13FE" w:rsidRPr="00BD68B7">
        <w:t>challenges and to share good practices.</w:t>
      </w:r>
    </w:p>
    <w:p w14:paraId="158537A1" w14:textId="17502B56" w:rsidR="002A13FE" w:rsidRPr="00BD68B7" w:rsidRDefault="00010E4B" w:rsidP="0026367F">
      <w:pPr>
        <w:pStyle w:val="Leipteksti2kappalenumeroilla"/>
      </w:pPr>
      <w:r>
        <w:t>The r</w:t>
      </w:r>
      <w:r w:rsidR="002A13FE" w:rsidRPr="00BD68B7">
        <w:t>oundtable discussion</w:t>
      </w:r>
      <w:r>
        <w:t xml:space="preserve"> suggested that</w:t>
      </w:r>
      <w:r w:rsidR="002A13FE" w:rsidRPr="00BD68B7">
        <w:t xml:space="preserve"> many civil society organisations have </w:t>
      </w:r>
      <w:r w:rsidR="0096178A" w:rsidRPr="00BD68B7">
        <w:t xml:space="preserve">a </w:t>
      </w:r>
      <w:r w:rsidR="002A13FE" w:rsidRPr="00BD68B7">
        <w:t>deep expertise in the area</w:t>
      </w:r>
      <w:r w:rsidR="00BC54C5" w:rsidRPr="00BD68B7">
        <w:t>,</w:t>
      </w:r>
      <w:r w:rsidR="002A13FE" w:rsidRPr="00BD68B7">
        <w:t xml:space="preserve"> and they have had projects </w:t>
      </w:r>
      <w:r w:rsidR="00BC54C5" w:rsidRPr="00BD68B7">
        <w:t>in which they provide education and educational material for professionals who work with children in early childhood education or basic education. Some CSOs work directly with young children and teens and provide support and guidance especially in cases of online harassment and violence.</w:t>
      </w:r>
    </w:p>
    <w:p w14:paraId="39E5BAC7" w14:textId="0EF718A8" w:rsidR="001A42D6" w:rsidRPr="00BD68B7" w:rsidRDefault="001869F9" w:rsidP="0026367F">
      <w:pPr>
        <w:pStyle w:val="Leipteksti2kappalenumeroilla"/>
      </w:pPr>
      <w:hyperlink r:id="rId11" w:history="1">
        <w:r w:rsidR="001A42D6" w:rsidRPr="00BD68B7">
          <w:rPr>
            <w:rStyle w:val="Hyperlinkki"/>
          </w:rPr>
          <w:t xml:space="preserve">Sua </w:t>
        </w:r>
        <w:proofErr w:type="spellStart"/>
        <w:r w:rsidR="001A42D6" w:rsidRPr="00BD68B7">
          <w:rPr>
            <w:rStyle w:val="Hyperlinkki"/>
          </w:rPr>
          <w:t>varten</w:t>
        </w:r>
        <w:proofErr w:type="spellEnd"/>
        <w:r w:rsidR="001A42D6" w:rsidRPr="00BD68B7">
          <w:rPr>
            <w:rStyle w:val="Hyperlinkki"/>
          </w:rPr>
          <w:t xml:space="preserve"> </w:t>
        </w:r>
        <w:proofErr w:type="spellStart"/>
        <w:r w:rsidR="001A42D6" w:rsidRPr="00BD68B7">
          <w:rPr>
            <w:rStyle w:val="Hyperlinkki"/>
          </w:rPr>
          <w:t>somessa</w:t>
        </w:r>
        <w:proofErr w:type="spellEnd"/>
      </w:hyperlink>
      <w:r w:rsidR="001A42D6" w:rsidRPr="00BD68B7">
        <w:t xml:space="preserve"> (For you in social media), is a </w:t>
      </w:r>
      <w:r w:rsidR="00CE2011" w:rsidRPr="00BD68B7">
        <w:t xml:space="preserve">forerunner </w:t>
      </w:r>
      <w:r w:rsidR="001A42D6" w:rsidRPr="00BD68B7">
        <w:t>digital service operating on social media platforms</w:t>
      </w:r>
      <w:r w:rsidR="0096178A" w:rsidRPr="00BD68B7">
        <w:t xml:space="preserve"> such as Instagram, TikTok and Snapchat</w:t>
      </w:r>
      <w:r w:rsidR="001A42D6" w:rsidRPr="00BD68B7">
        <w:t xml:space="preserve">, run by a team of youth workers combating cyberbullying and online sexual abuse. They support youth aged </w:t>
      </w:r>
      <w:r w:rsidR="00C02664">
        <w:t>8</w:t>
      </w:r>
      <w:r w:rsidR="001A42D6" w:rsidRPr="00BD68B7">
        <w:t xml:space="preserve"> to 21 years of age.</w:t>
      </w:r>
      <w:r w:rsidR="004057B3" w:rsidRPr="00BD68B7">
        <w:t xml:space="preserve"> In 2022, they had over 300 discussions with children, out of which 89 percent were 15 years or younger. Their typical contact is a girl aged between 11 and 14 years, who ha</w:t>
      </w:r>
      <w:r w:rsidR="00C02664">
        <w:t>s</w:t>
      </w:r>
      <w:r w:rsidR="004057B3" w:rsidRPr="00BD68B7">
        <w:t xml:space="preserve"> received or asked to send nude pictures.</w:t>
      </w:r>
    </w:p>
    <w:p w14:paraId="5BB63CB3" w14:textId="7B382DA4" w:rsidR="001A42D6" w:rsidRPr="00BD68B7" w:rsidRDefault="003144BF" w:rsidP="0026367F">
      <w:pPr>
        <w:pStyle w:val="Leipteksti2kappalenumeroilla"/>
      </w:pPr>
      <w:r w:rsidRPr="00BD68B7">
        <w:t xml:space="preserve">The Finnish Family Federation and </w:t>
      </w:r>
      <w:r w:rsidR="004057B3" w:rsidRPr="00BD68B7">
        <w:t>Protect Children</w:t>
      </w:r>
      <w:r w:rsidRPr="00BD68B7">
        <w:t xml:space="preserve"> provide good examples </w:t>
      </w:r>
      <w:r w:rsidR="008F3A39" w:rsidRPr="00BD68B7">
        <w:t xml:space="preserve">(in addition to Save the Children, referred to in para. 179 of the </w:t>
      </w:r>
      <w:r w:rsidR="00BA7624">
        <w:t>Government’s</w:t>
      </w:r>
      <w:r w:rsidR="008F3A39" w:rsidRPr="00BD68B7">
        <w:t xml:space="preserve"> report) </w:t>
      </w:r>
      <w:r w:rsidRPr="00BD68B7">
        <w:t xml:space="preserve">of good practices with </w:t>
      </w:r>
      <w:r w:rsidR="0096178A" w:rsidRPr="00BD68B7">
        <w:t>younger children</w:t>
      </w:r>
      <w:r w:rsidRPr="00BD68B7">
        <w:t xml:space="preserve">. </w:t>
      </w:r>
      <w:r w:rsidR="006B029A" w:rsidRPr="00BD68B7">
        <w:t xml:space="preserve">The Family Federation has promoted sexual health education, often referred to as </w:t>
      </w:r>
      <w:hyperlink r:id="rId12" w:history="1">
        <w:r w:rsidR="006B029A" w:rsidRPr="00BD68B7">
          <w:rPr>
            <w:rStyle w:val="Hyperlinkki"/>
          </w:rPr>
          <w:t>kehotunnekasvatus</w:t>
        </w:r>
      </w:hyperlink>
      <w:r w:rsidR="006B029A" w:rsidRPr="00BD68B7">
        <w:t xml:space="preserve"> (‘body awareness education’) in early childhood education since 2000. The Federation </w:t>
      </w:r>
      <w:r w:rsidR="008F036E" w:rsidRPr="00BD68B7">
        <w:t xml:space="preserve">provides with materials in plain language, training </w:t>
      </w:r>
      <w:r w:rsidR="00EC25F7" w:rsidRPr="00BD68B7">
        <w:t xml:space="preserve">for </w:t>
      </w:r>
      <w:r w:rsidR="008F036E" w:rsidRPr="00BD68B7">
        <w:t>professionals, and online courses and lectures</w:t>
      </w:r>
      <w:r w:rsidR="00EC25F7" w:rsidRPr="00BD68B7">
        <w:t xml:space="preserve"> with open access</w:t>
      </w:r>
      <w:r w:rsidR="008F036E" w:rsidRPr="00BD68B7">
        <w:t xml:space="preserve">. Their work leans on the </w:t>
      </w:r>
      <w:hyperlink r:id="rId13" w:history="1">
        <w:r w:rsidR="006B029A" w:rsidRPr="00BD68B7">
          <w:rPr>
            <w:rStyle w:val="Hyperlinkki"/>
          </w:rPr>
          <w:t>European Standards for Sexual Education</w:t>
        </w:r>
      </w:hyperlink>
      <w:r w:rsidR="008F036E" w:rsidRPr="00BD68B7">
        <w:t xml:space="preserve"> by WHO.</w:t>
      </w:r>
      <w:r w:rsidR="00EC25F7" w:rsidRPr="00BD68B7">
        <w:t xml:space="preserve"> </w:t>
      </w:r>
      <w:r w:rsidRPr="00BD68B7">
        <w:t xml:space="preserve">Protect Children </w:t>
      </w:r>
      <w:r w:rsidR="004057B3" w:rsidRPr="00BD68B7">
        <w:t xml:space="preserve">has developed material and training on digital safety skills for small children aimed at children themselves, families and educators in the </w:t>
      </w:r>
      <w:hyperlink r:id="rId14" w:history="1">
        <w:r w:rsidR="004057B3" w:rsidRPr="00BD68B7">
          <w:rPr>
            <w:rStyle w:val="Hyperlinkki"/>
          </w:rPr>
          <w:t>Online Road Safety</w:t>
        </w:r>
      </w:hyperlink>
      <w:r w:rsidR="004057B3" w:rsidRPr="00BD68B7">
        <w:t xml:space="preserve"> project and </w:t>
      </w:r>
      <w:hyperlink r:id="rId15" w:history="1">
        <w:proofErr w:type="spellStart"/>
        <w:r w:rsidR="004057B3" w:rsidRPr="00BD68B7">
          <w:rPr>
            <w:rStyle w:val="Hyperlinkki"/>
          </w:rPr>
          <w:t>StopSlowGo</w:t>
        </w:r>
        <w:proofErr w:type="spellEnd"/>
      </w:hyperlink>
      <w:r w:rsidR="004057B3" w:rsidRPr="00BD68B7">
        <w:t xml:space="preserve"> workshops.</w:t>
      </w:r>
    </w:p>
    <w:p w14:paraId="50188F26" w14:textId="106E932F" w:rsidR="00635038" w:rsidRPr="00BD68B7" w:rsidRDefault="00BC54C5" w:rsidP="0026367F">
      <w:pPr>
        <w:pStyle w:val="Leipteksti2kappalenumeroilla"/>
      </w:pPr>
      <w:r w:rsidRPr="00BD68B7">
        <w:t xml:space="preserve">Amnesty Finland has provided </w:t>
      </w:r>
      <w:r w:rsidR="001B74A6" w:rsidRPr="00BD68B7">
        <w:t xml:space="preserve">an exceptional and comprehensive </w:t>
      </w:r>
      <w:r w:rsidRPr="00BD68B7">
        <w:t>human rights education material</w:t>
      </w:r>
      <w:r w:rsidR="00615FED" w:rsidRPr="00BD68B7">
        <w:t xml:space="preserve"> on sexual rights and consent for schools:</w:t>
      </w:r>
      <w:r w:rsidRPr="00BD68B7">
        <w:t xml:space="preserve"> </w:t>
      </w:r>
      <w:hyperlink r:id="rId16" w:history="1">
        <w:proofErr w:type="spellStart"/>
        <w:r w:rsidRPr="00BD68B7">
          <w:rPr>
            <w:rStyle w:val="Hyperlinkki"/>
          </w:rPr>
          <w:t>Puhutaan</w:t>
        </w:r>
        <w:proofErr w:type="spellEnd"/>
        <w:r w:rsidRPr="00BD68B7">
          <w:rPr>
            <w:rStyle w:val="Hyperlinkki"/>
          </w:rPr>
          <w:t xml:space="preserve"> </w:t>
        </w:r>
        <w:proofErr w:type="spellStart"/>
        <w:r w:rsidRPr="00BD68B7">
          <w:rPr>
            <w:rStyle w:val="Hyperlinkki"/>
          </w:rPr>
          <w:t>suostumuksesta</w:t>
        </w:r>
        <w:proofErr w:type="spellEnd"/>
        <w:r w:rsidRPr="00BD68B7">
          <w:rPr>
            <w:rStyle w:val="Hyperlinkki"/>
          </w:rPr>
          <w:t>!</w:t>
        </w:r>
      </w:hyperlink>
      <w:r w:rsidRPr="00BD68B7">
        <w:t xml:space="preserve"> </w:t>
      </w:r>
      <w:r w:rsidR="001B74A6" w:rsidRPr="00BD68B7">
        <w:t>(Let’s talk about consent!</w:t>
      </w:r>
      <w:r w:rsidR="00615FED" w:rsidRPr="00BD68B7">
        <w:t>)</w:t>
      </w:r>
      <w:r w:rsidR="001B74A6" w:rsidRPr="00BD68B7">
        <w:t>. Th</w:t>
      </w:r>
      <w:r w:rsidR="00615FED" w:rsidRPr="00BD68B7">
        <w:t>is</w:t>
      </w:r>
      <w:r w:rsidR="001B74A6" w:rsidRPr="00BD68B7">
        <w:t xml:space="preserve"> material supports discussions </w:t>
      </w:r>
      <w:r w:rsidR="00615FED" w:rsidRPr="00BD68B7">
        <w:t xml:space="preserve">at schools </w:t>
      </w:r>
      <w:r w:rsidR="001B74A6" w:rsidRPr="00BD68B7">
        <w:t>on sexual rights focusing on positive interaction and pleasure.</w:t>
      </w:r>
    </w:p>
    <w:p w14:paraId="4BAB5F47" w14:textId="69C975F1" w:rsidR="00B8328A" w:rsidRPr="00BD68B7" w:rsidRDefault="001B74A6" w:rsidP="0026367F">
      <w:pPr>
        <w:pStyle w:val="Leipteksti2kappalenumeroilla"/>
      </w:pPr>
      <w:r w:rsidRPr="00BD68B7">
        <w:t>Amnesty Finland also had a joint project with SETA (LGBTI Rights Finland) to educate school professiona</w:t>
      </w:r>
      <w:r w:rsidR="00635038" w:rsidRPr="00BD68B7">
        <w:t xml:space="preserve">ls to </w:t>
      </w:r>
      <w:r w:rsidR="003A578C" w:rsidRPr="00BD68B7">
        <w:t xml:space="preserve">better </w:t>
      </w:r>
      <w:r w:rsidR="00C02664">
        <w:t>identify</w:t>
      </w:r>
      <w:r w:rsidR="00635038" w:rsidRPr="00BD68B7">
        <w:t>, to intervene, and to promote prevention</w:t>
      </w:r>
      <w:r w:rsidR="00794A5B" w:rsidRPr="00BD68B7">
        <w:t xml:space="preserve"> of gender-based violence</w:t>
      </w:r>
      <w:r w:rsidR="00635038" w:rsidRPr="00BD68B7">
        <w:t xml:space="preserve"> in </w:t>
      </w:r>
      <w:r w:rsidR="00C33D06" w:rsidRPr="00BD68B7">
        <w:t>school</w:t>
      </w:r>
      <w:r w:rsidR="00635038" w:rsidRPr="00BD68B7">
        <w:t xml:space="preserve">. This </w:t>
      </w:r>
      <w:hyperlink r:id="rId17" w:history="1">
        <w:proofErr w:type="spellStart"/>
        <w:r w:rsidR="00635038" w:rsidRPr="00BD68B7">
          <w:rPr>
            <w:rStyle w:val="Hyperlinkki"/>
          </w:rPr>
          <w:t>Suostumus</w:t>
        </w:r>
        <w:proofErr w:type="spellEnd"/>
        <w:r w:rsidR="00635038" w:rsidRPr="00BD68B7">
          <w:rPr>
            <w:rStyle w:val="Hyperlinkki"/>
          </w:rPr>
          <w:t xml:space="preserve"> </w:t>
        </w:r>
        <w:proofErr w:type="spellStart"/>
        <w:r w:rsidR="00635038" w:rsidRPr="00BD68B7">
          <w:rPr>
            <w:rStyle w:val="Hyperlinkki"/>
          </w:rPr>
          <w:t>ja</w:t>
        </w:r>
        <w:proofErr w:type="spellEnd"/>
        <w:r w:rsidR="00635038" w:rsidRPr="00BD68B7">
          <w:rPr>
            <w:rStyle w:val="Hyperlinkki"/>
          </w:rPr>
          <w:t xml:space="preserve"> </w:t>
        </w:r>
        <w:proofErr w:type="spellStart"/>
        <w:r w:rsidR="00635038" w:rsidRPr="00BD68B7">
          <w:rPr>
            <w:rStyle w:val="Hyperlinkki"/>
          </w:rPr>
          <w:t>sateenkaari</w:t>
        </w:r>
        <w:proofErr w:type="spellEnd"/>
        <w:r w:rsidR="00635038" w:rsidRPr="00BD68B7">
          <w:rPr>
            <w:rStyle w:val="Hyperlinkki"/>
          </w:rPr>
          <w:t xml:space="preserve"> </w:t>
        </w:r>
        <w:proofErr w:type="spellStart"/>
        <w:r w:rsidR="00635038" w:rsidRPr="00BD68B7">
          <w:rPr>
            <w:rStyle w:val="Hyperlinkki"/>
          </w:rPr>
          <w:t>koulussa</w:t>
        </w:r>
        <w:proofErr w:type="spellEnd"/>
      </w:hyperlink>
      <w:r w:rsidR="00635038" w:rsidRPr="00BD68B7">
        <w:t xml:space="preserve"> (Consent and Rainbow at School) </w:t>
      </w:r>
      <w:r w:rsidR="00611F96" w:rsidRPr="00BD68B7">
        <w:t xml:space="preserve">course </w:t>
      </w:r>
      <w:r w:rsidR="00635038" w:rsidRPr="00BD68B7">
        <w:t xml:space="preserve">included one session from </w:t>
      </w:r>
      <w:hyperlink r:id="rId18" w:history="1">
        <w:proofErr w:type="spellStart"/>
        <w:r w:rsidR="00635038" w:rsidRPr="00BD68B7">
          <w:rPr>
            <w:rStyle w:val="Hyperlinkki"/>
          </w:rPr>
          <w:t>eraseGBV</w:t>
        </w:r>
        <w:proofErr w:type="spellEnd"/>
        <w:r w:rsidR="00635038" w:rsidRPr="00BD68B7">
          <w:rPr>
            <w:rStyle w:val="Hyperlinkki"/>
          </w:rPr>
          <w:t xml:space="preserve"> training programme</w:t>
        </w:r>
      </w:hyperlink>
      <w:r w:rsidR="00635038" w:rsidRPr="00BD68B7">
        <w:t>, a project lead by the University of Tampere</w:t>
      </w:r>
      <w:r w:rsidR="00611F96" w:rsidRPr="00BD68B7">
        <w:t xml:space="preserve"> and funded by the Rights, Equality and Citizenship Programme of the European Union (2014–2020).</w:t>
      </w:r>
    </w:p>
    <w:p w14:paraId="56530495" w14:textId="03E64ECA" w:rsidR="00C33D06" w:rsidRPr="00BD68B7" w:rsidRDefault="00073A81" w:rsidP="0026367F">
      <w:pPr>
        <w:pStyle w:val="Leipteksti2kappalenumeroilla"/>
      </w:pPr>
      <w:r w:rsidRPr="00BD68B7">
        <w:t xml:space="preserve">With these examples the Ombudsman wishes to underline that in Finland there are </w:t>
      </w:r>
      <w:r w:rsidR="002901AD" w:rsidRPr="00BD68B7">
        <w:t>many</w:t>
      </w:r>
      <w:r w:rsidRPr="00BD68B7">
        <w:t xml:space="preserve"> outstanding </w:t>
      </w:r>
      <w:r w:rsidR="002901AD" w:rsidRPr="00BD68B7">
        <w:t xml:space="preserve">practices developed and lead by CSOs. </w:t>
      </w:r>
      <w:r w:rsidR="008307B9" w:rsidRPr="00BD68B7">
        <w:t>However</w:t>
      </w:r>
      <w:r w:rsidR="00C33D06" w:rsidRPr="00BD68B7">
        <w:t>, t</w:t>
      </w:r>
      <w:r w:rsidR="002901AD" w:rsidRPr="00BD68B7">
        <w:t xml:space="preserve">hey are </w:t>
      </w:r>
      <w:r w:rsidR="008307B9" w:rsidRPr="00BD68B7">
        <w:t xml:space="preserve">normally carried out as </w:t>
      </w:r>
      <w:r w:rsidR="002901AD" w:rsidRPr="00BD68B7">
        <w:t>temporary projects</w:t>
      </w:r>
      <w:r w:rsidR="008307B9" w:rsidRPr="00BD68B7">
        <w:t>, they</w:t>
      </w:r>
      <w:r w:rsidR="002901AD" w:rsidRPr="00BD68B7">
        <w:t xml:space="preserve"> depend on temporary funding, </w:t>
      </w:r>
      <w:r w:rsidR="008307B9" w:rsidRPr="00BD68B7">
        <w:t xml:space="preserve">and </w:t>
      </w:r>
      <w:r w:rsidR="002901AD" w:rsidRPr="00BD68B7">
        <w:t>run the constant risk to be discontinued.</w:t>
      </w:r>
      <w:r w:rsidR="00C33D06" w:rsidRPr="00BD68B7">
        <w:t xml:space="preserve"> The</w:t>
      </w:r>
      <w:r w:rsidR="003E474E" w:rsidRPr="00BD68B7">
        <w:t xml:space="preserve"> importance of these </w:t>
      </w:r>
      <w:r w:rsidR="00C33D06" w:rsidRPr="00BD68B7">
        <w:t>pr</w:t>
      </w:r>
      <w:r w:rsidR="00641A57" w:rsidRPr="00BD68B7">
        <w:t xml:space="preserve">ojects </w:t>
      </w:r>
      <w:r w:rsidR="008307B9" w:rsidRPr="00BD68B7">
        <w:t xml:space="preserve">should be </w:t>
      </w:r>
      <w:r w:rsidR="003E474E" w:rsidRPr="00BD68B7">
        <w:t xml:space="preserve">recognised and valued </w:t>
      </w:r>
      <w:r w:rsidR="008307B9" w:rsidRPr="00BD68B7">
        <w:t xml:space="preserve">from the point of view </w:t>
      </w:r>
      <w:r w:rsidR="00C33D06" w:rsidRPr="00BD68B7">
        <w:t>of the Istanbul Convention</w:t>
      </w:r>
      <w:r w:rsidR="00641A57" w:rsidRPr="00BD68B7">
        <w:t xml:space="preserve"> </w:t>
      </w:r>
      <w:r w:rsidR="003E474E" w:rsidRPr="00BD68B7">
        <w:t>and its obligations laid down under Article 14.</w:t>
      </w:r>
    </w:p>
    <w:p w14:paraId="51404CE5" w14:textId="40F406D1" w:rsidR="00073A81" w:rsidRPr="00BD68B7" w:rsidRDefault="002901AD" w:rsidP="0026367F">
      <w:pPr>
        <w:pStyle w:val="Leipteksti2kappalenumeroilla"/>
      </w:pPr>
      <w:r w:rsidRPr="00BD68B7">
        <w:t xml:space="preserve">It should also be noted that while </w:t>
      </w:r>
      <w:r w:rsidR="003E474E" w:rsidRPr="00BD68B7">
        <w:t xml:space="preserve">existing </w:t>
      </w:r>
      <w:r w:rsidRPr="00BD68B7">
        <w:t>materials and training are of high quality, t</w:t>
      </w:r>
      <w:r w:rsidR="00F05F83" w:rsidRPr="00BD68B7">
        <w:t xml:space="preserve">hey reach only those who voluntarily want to get involved with the topic, as none of the </w:t>
      </w:r>
      <w:r w:rsidR="00642D17" w:rsidRPr="00BD68B7">
        <w:t xml:space="preserve">activities </w:t>
      </w:r>
      <w:r w:rsidR="00F05F83" w:rsidRPr="00BD68B7">
        <w:t xml:space="preserve">is </w:t>
      </w:r>
      <w:r w:rsidR="00C02664">
        <w:t>compulsory for professionals in education</w:t>
      </w:r>
      <w:r w:rsidR="00F05F83" w:rsidRPr="00BD68B7">
        <w:t>.</w:t>
      </w:r>
    </w:p>
    <w:p w14:paraId="5B2504FE" w14:textId="1113BFCB" w:rsidR="00D83375" w:rsidRPr="00BD68B7" w:rsidRDefault="00D83375" w:rsidP="00EE3E96">
      <w:pPr>
        <w:pStyle w:val="Otsikko2"/>
      </w:pPr>
      <w:bookmarkStart w:id="8" w:name="_Toc154142281"/>
      <w:r w:rsidRPr="00BD68B7">
        <w:t>Article 15: Training of professionals</w:t>
      </w:r>
      <w:bookmarkEnd w:id="8"/>
    </w:p>
    <w:p w14:paraId="2BEBAE27" w14:textId="03881BCC" w:rsidR="000109B5" w:rsidRPr="00BD68B7" w:rsidRDefault="00D51160" w:rsidP="0026367F">
      <w:pPr>
        <w:pStyle w:val="Leipteksti2kappalenumeroilla"/>
      </w:pPr>
      <w:r w:rsidRPr="00BD68B7">
        <w:t>In general</w:t>
      </w:r>
      <w:r w:rsidR="000109B5" w:rsidRPr="00BD68B7">
        <w:t xml:space="preserve">, there is no compulsory initial training on VAW for professionals who complete their degrees </w:t>
      </w:r>
      <w:r w:rsidR="00E8455B">
        <w:t>at the</w:t>
      </w:r>
      <w:r w:rsidR="000109B5" w:rsidRPr="00BD68B7">
        <w:t xml:space="preserve"> universities of applied sciences (</w:t>
      </w:r>
      <w:proofErr w:type="spellStart"/>
      <w:r w:rsidR="000109B5" w:rsidRPr="00BD68B7">
        <w:t>eg.</w:t>
      </w:r>
      <w:proofErr w:type="spellEnd"/>
      <w:r w:rsidR="000109B5" w:rsidRPr="00BD68B7">
        <w:t xml:space="preserve"> nurses and social workers) or who have university degrees in education, </w:t>
      </w:r>
      <w:r w:rsidR="007E4666" w:rsidRPr="00BD68B7">
        <w:t xml:space="preserve">health sciences, </w:t>
      </w:r>
      <w:r w:rsidR="000109B5" w:rsidRPr="00BD68B7">
        <w:t>law</w:t>
      </w:r>
      <w:r w:rsidR="007E4666" w:rsidRPr="00BD68B7">
        <w:t xml:space="preserve">, medicine, psychology, or social sciences. Neither there </w:t>
      </w:r>
      <w:r w:rsidR="00B40727" w:rsidRPr="00BD68B7">
        <w:t xml:space="preserve">is </w:t>
      </w:r>
      <w:r w:rsidR="007E4666" w:rsidRPr="00BD68B7">
        <w:t>compulsory in-service training for these professionals.</w:t>
      </w:r>
    </w:p>
    <w:p w14:paraId="7E37E505" w14:textId="14588767" w:rsidR="00D51160" w:rsidRPr="00BD68B7" w:rsidRDefault="00B40727" w:rsidP="0026367F">
      <w:pPr>
        <w:pStyle w:val="Leipteksti2kappalenumeroilla"/>
      </w:pPr>
      <w:r w:rsidRPr="00BD68B7">
        <w:t xml:space="preserve">The Ombudsman finds the information </w:t>
      </w:r>
      <w:r w:rsidR="00D51160" w:rsidRPr="00BD68B7">
        <w:t xml:space="preserve">asked in the Tables I and II but shown </w:t>
      </w:r>
      <w:r w:rsidRPr="00BD68B7">
        <w:t xml:space="preserve">in </w:t>
      </w:r>
      <w:r w:rsidR="00D51160" w:rsidRPr="00BD68B7">
        <w:t>the Annexes 1, 13, 14, and 19</w:t>
      </w:r>
      <w:r w:rsidRPr="00BD68B7">
        <w:t xml:space="preserve"> </w:t>
      </w:r>
      <w:r w:rsidR="00D51160" w:rsidRPr="00BD68B7">
        <w:t>of</w:t>
      </w:r>
      <w:r w:rsidRPr="00BD68B7">
        <w:t xml:space="preserve"> the </w:t>
      </w:r>
      <w:r w:rsidR="00BA7624">
        <w:t>Government’s</w:t>
      </w:r>
      <w:r w:rsidRPr="00BD68B7">
        <w:t xml:space="preserve"> report somewhat confusing and misleading</w:t>
      </w:r>
      <w:r w:rsidR="00D51160" w:rsidRPr="00BD68B7">
        <w:t xml:space="preserve">. </w:t>
      </w:r>
      <w:r w:rsidR="008F7634" w:rsidRPr="00BD68B7">
        <w:t>Police University College (Annex 14)</w:t>
      </w:r>
      <w:r w:rsidR="00D51160" w:rsidRPr="00BD68B7">
        <w:t xml:space="preserve"> is the only educational institution who </w:t>
      </w:r>
      <w:r w:rsidR="00BA7624">
        <w:t xml:space="preserve">offers </w:t>
      </w:r>
      <w:r w:rsidR="008F7634" w:rsidRPr="00BD68B7">
        <w:t>compulsory training.</w:t>
      </w:r>
    </w:p>
    <w:p w14:paraId="3D285AAF" w14:textId="7AF62C94" w:rsidR="008F7634" w:rsidRPr="00BD68B7" w:rsidRDefault="008F7634" w:rsidP="0026367F">
      <w:pPr>
        <w:pStyle w:val="Leipteksti2kappalenumeroilla"/>
      </w:pPr>
      <w:r w:rsidRPr="00BD68B7">
        <w:t xml:space="preserve">As shown in the </w:t>
      </w:r>
      <w:r w:rsidR="00BA7624">
        <w:t>Government’s</w:t>
      </w:r>
      <w:r w:rsidRPr="00BD68B7">
        <w:t xml:space="preserve"> report, many stakeholders and NGOs offer in-service training</w:t>
      </w:r>
      <w:r w:rsidR="00585905">
        <w:t>. Unfortunately</w:t>
      </w:r>
      <w:r w:rsidRPr="00BD68B7">
        <w:t>, due to the voluntariness, the training reaches only few</w:t>
      </w:r>
      <w:r w:rsidR="00585905">
        <w:t>, and usually those who already work with specialist support services</w:t>
      </w:r>
      <w:r w:rsidR="00B47A6C" w:rsidRPr="00BD68B7">
        <w:t>,</w:t>
      </w:r>
      <w:r w:rsidRPr="00BD68B7">
        <w:t xml:space="preserve"> and </w:t>
      </w:r>
      <w:r w:rsidR="00585905">
        <w:t xml:space="preserve">in general, the </w:t>
      </w:r>
      <w:r w:rsidRPr="00BD68B7">
        <w:t xml:space="preserve">participation rates are not </w:t>
      </w:r>
      <w:r w:rsidR="00B47A6C" w:rsidRPr="00BD68B7">
        <w:t xml:space="preserve">consistently </w:t>
      </w:r>
      <w:r w:rsidR="00EE43FB" w:rsidRPr="00BD68B7">
        <w:t>overseen.</w:t>
      </w:r>
    </w:p>
    <w:p w14:paraId="4060D68A" w14:textId="7BE93573" w:rsidR="00B47A6C" w:rsidRPr="00BD68B7" w:rsidRDefault="00B47A6C" w:rsidP="0026367F">
      <w:pPr>
        <w:pStyle w:val="Leipteksti2kappalenumeroilla"/>
      </w:pPr>
      <w:r w:rsidRPr="00BD68B7">
        <w:t xml:space="preserve">In the Ombudsman’s view, regardless the autonomy and independence of higher education institutions (referred to in para. 206 in the </w:t>
      </w:r>
      <w:r w:rsidR="00BA7624">
        <w:t>Government’s</w:t>
      </w:r>
      <w:r w:rsidRPr="00BD68B7">
        <w:t xml:space="preserve"> report), there is no hindrance to </w:t>
      </w:r>
      <w:r w:rsidR="00A2727D" w:rsidRPr="00BD68B7">
        <w:t xml:space="preserve">request the </w:t>
      </w:r>
      <w:r w:rsidR="00A2727D" w:rsidRPr="00BD68B7">
        <w:lastRenderedPageBreak/>
        <w:t>institutions to provide information on their curricula</w:t>
      </w:r>
      <w:r w:rsidR="00403E3A">
        <w:t>,</w:t>
      </w:r>
      <w:r w:rsidR="00A2727D" w:rsidRPr="00BD68B7">
        <w:t xml:space="preserve"> content</w:t>
      </w:r>
      <w:r w:rsidR="00403E3A">
        <w:t>s</w:t>
      </w:r>
      <w:r w:rsidR="00FF60EB">
        <w:t xml:space="preserve"> of instruction,</w:t>
      </w:r>
      <w:r w:rsidR="00B6270A" w:rsidRPr="00BD68B7">
        <w:t xml:space="preserve"> and degree requirements</w:t>
      </w:r>
      <w:r w:rsidR="00A2727D" w:rsidRPr="00BD68B7">
        <w:t xml:space="preserve"> linked to VAW.</w:t>
      </w:r>
      <w:r w:rsidR="00B6270A" w:rsidRPr="00BD68B7">
        <w:t xml:space="preserve"> </w:t>
      </w:r>
      <w:r w:rsidR="00C50E20">
        <w:t xml:space="preserve">Reviewing training (or the lack thereof) </w:t>
      </w:r>
      <w:r w:rsidR="00B6270A" w:rsidRPr="00BD68B7">
        <w:t xml:space="preserve">should be seen as a part of </w:t>
      </w:r>
      <w:r w:rsidR="00C50E20">
        <w:t xml:space="preserve">the </w:t>
      </w:r>
      <w:r w:rsidR="00C50E20" w:rsidRPr="00BD68B7">
        <w:t>implementa</w:t>
      </w:r>
      <w:r w:rsidR="00C50E20">
        <w:t>t</w:t>
      </w:r>
      <w:r w:rsidR="00C50E20" w:rsidRPr="00BD68B7">
        <w:t>ion</w:t>
      </w:r>
      <w:r w:rsidR="00C50E20">
        <w:t xml:space="preserve"> of </w:t>
      </w:r>
      <w:r w:rsidR="00B6270A" w:rsidRPr="00BD68B7">
        <w:t xml:space="preserve">the </w:t>
      </w:r>
      <w:r w:rsidR="006E7214">
        <w:t xml:space="preserve">Convention </w:t>
      </w:r>
      <w:r w:rsidR="00B6270A" w:rsidRPr="00BD68B7">
        <w:t xml:space="preserve">and could be used as one indicator for the NAPE Committee to assess </w:t>
      </w:r>
      <w:r w:rsidR="00C50E20">
        <w:t>national preventive measures</w:t>
      </w:r>
      <w:r w:rsidR="00B6270A" w:rsidRPr="00BD68B7">
        <w:t>.</w:t>
      </w:r>
    </w:p>
    <w:p w14:paraId="547F4B4B" w14:textId="78157387" w:rsidR="00B47A6C" w:rsidRPr="00BD68B7" w:rsidRDefault="00EE43FB" w:rsidP="0026367F">
      <w:pPr>
        <w:pStyle w:val="Leipteksti2kappalenumeroilla"/>
      </w:pPr>
      <w:r w:rsidRPr="00BD68B7">
        <w:t>F</w:t>
      </w:r>
      <w:r w:rsidR="00247EC7" w:rsidRPr="00BD68B7">
        <w:t xml:space="preserve">urthermore, </w:t>
      </w:r>
      <w:r w:rsidRPr="00BD68B7">
        <w:t>the</w:t>
      </w:r>
      <w:r w:rsidR="00615FED" w:rsidRPr="00BD68B7">
        <w:t xml:space="preserve"> Ombudsman for Equality </w:t>
      </w:r>
      <w:r w:rsidRPr="00BD68B7">
        <w:t xml:space="preserve">has pointed out that </w:t>
      </w:r>
      <w:r w:rsidR="00615FED" w:rsidRPr="00BD68B7">
        <w:t xml:space="preserve">teachers and early childhood education personnel </w:t>
      </w:r>
      <w:r w:rsidRPr="00BD68B7">
        <w:t xml:space="preserve">lack </w:t>
      </w:r>
      <w:r w:rsidR="00615FED" w:rsidRPr="00BD68B7">
        <w:t xml:space="preserve">sufficient </w:t>
      </w:r>
      <w:r w:rsidR="00B47A6C" w:rsidRPr="00BD68B7">
        <w:t xml:space="preserve">knowledge on </w:t>
      </w:r>
      <w:r w:rsidR="00247EC7" w:rsidRPr="00BD68B7">
        <w:t xml:space="preserve">gender </w:t>
      </w:r>
      <w:r w:rsidR="00615FED" w:rsidRPr="00BD68B7">
        <w:t xml:space="preserve">equality </w:t>
      </w:r>
      <w:r w:rsidR="00B47A6C" w:rsidRPr="00BD68B7">
        <w:t>issues.</w:t>
      </w:r>
      <w:r w:rsidR="00615FED" w:rsidRPr="00BD68B7">
        <w:t xml:space="preserve"> </w:t>
      </w:r>
      <w:r w:rsidR="00B47A6C" w:rsidRPr="00BD68B7">
        <w:t xml:space="preserve">The Ombudsman for Equality advocates for initial training of </w:t>
      </w:r>
      <w:r w:rsidR="00615FED" w:rsidRPr="00BD68B7">
        <w:t xml:space="preserve">teachers and early childhood education </w:t>
      </w:r>
      <w:r w:rsidR="00B47A6C" w:rsidRPr="00BD68B7">
        <w:t>professionals</w:t>
      </w:r>
      <w:r w:rsidR="00615FED" w:rsidRPr="00BD68B7">
        <w:t xml:space="preserve"> </w:t>
      </w:r>
      <w:r w:rsidR="00B47A6C" w:rsidRPr="00BD68B7">
        <w:t xml:space="preserve">to ensure their competencies </w:t>
      </w:r>
      <w:r w:rsidR="00615FED" w:rsidRPr="00BD68B7">
        <w:t>to provide gender-</w:t>
      </w:r>
      <w:r w:rsidR="00B47A6C" w:rsidRPr="00BD68B7">
        <w:t>sensitive</w:t>
      </w:r>
      <w:r w:rsidR="00615FED" w:rsidRPr="00BD68B7">
        <w:t xml:space="preserve"> and equality-aware teaching</w:t>
      </w:r>
      <w:r w:rsidR="00B47A6C" w:rsidRPr="00BD68B7">
        <w:t>. Otherwise, it seems,</w:t>
      </w:r>
      <w:r w:rsidR="00615FED" w:rsidRPr="00BD68B7">
        <w:t xml:space="preserve"> </w:t>
      </w:r>
      <w:r w:rsidR="00B47A6C" w:rsidRPr="00BD68B7">
        <w:t xml:space="preserve">they cannot meet with the </w:t>
      </w:r>
      <w:r w:rsidR="00615FED" w:rsidRPr="00BD68B7">
        <w:t xml:space="preserve">obligations to promote equality </w:t>
      </w:r>
      <w:r w:rsidR="00B47A6C" w:rsidRPr="00BD68B7">
        <w:t xml:space="preserve">as </w:t>
      </w:r>
      <w:r w:rsidR="00615FED" w:rsidRPr="00BD68B7">
        <w:t>laid down in the national core curriculum.</w:t>
      </w:r>
    </w:p>
    <w:p w14:paraId="4D94227C" w14:textId="4D820C04" w:rsidR="00D83375" w:rsidRPr="00BD68B7" w:rsidRDefault="00D83375" w:rsidP="00EE3E96">
      <w:pPr>
        <w:pStyle w:val="Otsikko2"/>
      </w:pPr>
      <w:bookmarkStart w:id="9" w:name="_Toc154142282"/>
      <w:r w:rsidRPr="00BD68B7">
        <w:t>Article 16: Preventive intervention and treatment programmes</w:t>
      </w:r>
      <w:bookmarkEnd w:id="9"/>
    </w:p>
    <w:p w14:paraId="6B890E0D" w14:textId="5A0813D9" w:rsidR="00AC67A2" w:rsidRPr="00BD68B7" w:rsidRDefault="00AC67A2" w:rsidP="0026367F">
      <w:pPr>
        <w:pStyle w:val="Leipteksti2kappalenumeroilla"/>
        <w:rPr>
          <w:sz w:val="22"/>
        </w:rPr>
      </w:pPr>
      <w:r w:rsidRPr="00BD68B7">
        <w:t xml:space="preserve">The Ombudsman emphasises the importance to incorporate measures </w:t>
      </w:r>
      <w:r w:rsidR="0083208A">
        <w:t xml:space="preserve">aimed at perpetrators in </w:t>
      </w:r>
      <w:r w:rsidRPr="00BD68B7">
        <w:t>the work of</w:t>
      </w:r>
      <w:r w:rsidR="0083208A" w:rsidRPr="00BD68B7">
        <w:t xml:space="preserve"> wellbeing services count</w:t>
      </w:r>
      <w:r w:rsidR="0083208A">
        <w:t>ies</w:t>
      </w:r>
      <w:r w:rsidRPr="00BD68B7">
        <w:t xml:space="preserve">, </w:t>
      </w:r>
      <w:r w:rsidR="0083208A">
        <w:t xml:space="preserve">including </w:t>
      </w:r>
      <w:r w:rsidRPr="00BD68B7">
        <w:t>knowledge</w:t>
      </w:r>
      <w:r w:rsidR="0083208A">
        <w:t xml:space="preserve">-sharing </w:t>
      </w:r>
      <w:r w:rsidRPr="00BD68B7">
        <w:t>and follow</w:t>
      </w:r>
      <w:r w:rsidR="0083208A">
        <w:t>ing</w:t>
      </w:r>
      <w:r w:rsidRPr="00BD68B7">
        <w:t xml:space="preserve"> the participation rates.</w:t>
      </w:r>
    </w:p>
    <w:p w14:paraId="250ACAEE" w14:textId="15B588BA" w:rsidR="00D83375" w:rsidRPr="00BD68B7" w:rsidRDefault="00D83375" w:rsidP="00EE3E96">
      <w:pPr>
        <w:pStyle w:val="Otsikko2"/>
      </w:pPr>
      <w:bookmarkStart w:id="10" w:name="_Toc154142283"/>
      <w:r w:rsidRPr="00BD68B7">
        <w:t>Article 18: General obligations</w:t>
      </w:r>
      <w:bookmarkEnd w:id="10"/>
      <w:r w:rsidRPr="00BD68B7">
        <w:t xml:space="preserve"> </w:t>
      </w:r>
    </w:p>
    <w:p w14:paraId="4871A2E4" w14:textId="652DDA39" w:rsidR="004526C9" w:rsidRPr="00BD68B7" w:rsidRDefault="003A59C8" w:rsidP="0026367F">
      <w:pPr>
        <w:pStyle w:val="Leipteksti2kappalenumeroilla"/>
      </w:pPr>
      <w:r w:rsidRPr="00BD68B7">
        <w:t xml:space="preserve">As seen in the </w:t>
      </w:r>
      <w:r w:rsidR="00BA7624">
        <w:t>Government’s</w:t>
      </w:r>
      <w:r w:rsidRPr="00BD68B7">
        <w:t xml:space="preserve"> report, there are plenty of different networks whose tasks are related to violence. </w:t>
      </w:r>
      <w:r w:rsidR="004526C9" w:rsidRPr="00BD68B7">
        <w:t xml:space="preserve">Unfortunately, these networks do not tackle violence comprehensively with a gender-sensitive approach </w:t>
      </w:r>
      <w:r w:rsidR="00BC51D4" w:rsidRPr="00BD68B7">
        <w:t xml:space="preserve">and often lack sufficient </w:t>
      </w:r>
      <w:r w:rsidR="004526C9" w:rsidRPr="00BD68B7">
        <w:t xml:space="preserve">expertise </w:t>
      </w:r>
      <w:r w:rsidR="00BC51D4" w:rsidRPr="00BD68B7">
        <w:t xml:space="preserve">in </w:t>
      </w:r>
      <w:r w:rsidR="004526C9" w:rsidRPr="00BD68B7">
        <w:t>violence against women and girls.</w:t>
      </w:r>
    </w:p>
    <w:p w14:paraId="06307713" w14:textId="2E66E398" w:rsidR="002D4362" w:rsidRPr="00BD68B7" w:rsidRDefault="0056375F" w:rsidP="0026367F">
      <w:pPr>
        <w:pStyle w:val="Leipteksti2kappalenumeroilla"/>
      </w:pPr>
      <w:r w:rsidRPr="00BD68B7">
        <w:t>The Ombudsman has organi</w:t>
      </w:r>
      <w:r w:rsidR="002D4362" w:rsidRPr="00BD68B7">
        <w:t>s</w:t>
      </w:r>
      <w:r w:rsidRPr="00BD68B7">
        <w:t xml:space="preserve">ed </w:t>
      </w:r>
      <w:r w:rsidR="002D4362" w:rsidRPr="00BD68B7">
        <w:t xml:space="preserve">two </w:t>
      </w:r>
      <w:r w:rsidRPr="00BD68B7">
        <w:t xml:space="preserve">roundtable discussions </w:t>
      </w:r>
      <w:r w:rsidR="00E65446">
        <w:t xml:space="preserve">in 2023 </w:t>
      </w:r>
      <w:r w:rsidRPr="00BD68B7">
        <w:t xml:space="preserve">to </w:t>
      </w:r>
      <w:r w:rsidR="00EF1989" w:rsidRPr="00BD68B7">
        <w:t>pinpoint</w:t>
      </w:r>
      <w:r w:rsidRPr="00BD68B7">
        <w:t xml:space="preserve"> </w:t>
      </w:r>
      <w:r w:rsidR="00EF1989" w:rsidRPr="00BD68B7">
        <w:t xml:space="preserve">gaps in </w:t>
      </w:r>
      <w:r w:rsidRPr="00BD68B7">
        <w:t xml:space="preserve">cooperation mechanisms and </w:t>
      </w:r>
      <w:r w:rsidR="00E65446">
        <w:t xml:space="preserve">to identify </w:t>
      </w:r>
      <w:r w:rsidR="00EF1989" w:rsidRPr="00BD68B7">
        <w:t xml:space="preserve">impediments to </w:t>
      </w:r>
      <w:r w:rsidR="00E65446">
        <w:t xml:space="preserve">victims’ </w:t>
      </w:r>
      <w:r w:rsidRPr="00BD68B7">
        <w:t>access to services</w:t>
      </w:r>
      <w:r w:rsidR="00E65446">
        <w:t xml:space="preserve">, especially </w:t>
      </w:r>
      <w:r w:rsidR="001048FD" w:rsidRPr="00BD68B7">
        <w:t>in post-separation situations</w:t>
      </w:r>
      <w:r w:rsidRPr="00BD68B7">
        <w:t>.</w:t>
      </w:r>
      <w:r w:rsidR="002D4362" w:rsidRPr="00BD68B7">
        <w:t xml:space="preserve"> In these discussions, experts, such as legal professionals, NGO representatives, and researchers, have pointed out how stalking, long-term and repeated procedural harassment</w:t>
      </w:r>
      <w:r w:rsidR="00F4589D" w:rsidRPr="00BD68B7">
        <w:rPr>
          <w:rStyle w:val="Alaviitteenviite"/>
        </w:rPr>
        <w:footnoteReference w:id="6"/>
      </w:r>
      <w:r w:rsidR="002D4362" w:rsidRPr="00BD68B7">
        <w:t>, and economic violence, as different forms of intimate partner violence, typically taking place</w:t>
      </w:r>
      <w:r w:rsidR="00A01B35" w:rsidRPr="00BD68B7">
        <w:t xml:space="preserve"> during and after separation</w:t>
      </w:r>
      <w:r w:rsidR="002D4362" w:rsidRPr="00BD68B7">
        <w:t xml:space="preserve">, are often ignored by public </w:t>
      </w:r>
      <w:r w:rsidR="0069181A">
        <w:t>authorities</w:t>
      </w:r>
      <w:r w:rsidR="002D4362" w:rsidRPr="00BD68B7">
        <w:t>.</w:t>
      </w:r>
    </w:p>
    <w:p w14:paraId="4F2A69CB" w14:textId="52F7FCDE" w:rsidR="009661F3" w:rsidRPr="00BD68B7" w:rsidRDefault="009661F3" w:rsidP="0026367F">
      <w:pPr>
        <w:pStyle w:val="Leipteksti2kappalenumeroilla"/>
      </w:pPr>
      <w:r w:rsidRPr="00BD68B7">
        <w:t>Intimate partner violence tend</w:t>
      </w:r>
      <w:r w:rsidR="001048FD" w:rsidRPr="00BD68B7">
        <w:t>s</w:t>
      </w:r>
      <w:r w:rsidRPr="00BD68B7">
        <w:t xml:space="preserve"> to take new forms after separation, and </w:t>
      </w:r>
      <w:r w:rsidR="0069181A">
        <w:t xml:space="preserve">typically, </w:t>
      </w:r>
      <w:r w:rsidRPr="00BD68B7">
        <w:t>if the man does not accept the woman’s intention to separate, he m</w:t>
      </w:r>
      <w:r w:rsidR="00A01B35" w:rsidRPr="00BD68B7">
        <w:t>ay</w:t>
      </w:r>
      <w:r w:rsidRPr="00BD68B7">
        <w:t xml:space="preserve"> try to take the woman under intense control and surveillance, and potentially use children as a tool of </w:t>
      </w:r>
      <w:r w:rsidR="0069181A">
        <w:t>harassment</w:t>
      </w:r>
      <w:r w:rsidRPr="00BD68B7">
        <w:t>. However, especially in the context of family law matters, the crisis caused by a divorce can be considered temporary, and the</w:t>
      </w:r>
      <w:r w:rsidR="0069181A">
        <w:t xml:space="preserve"> exacerbating </w:t>
      </w:r>
      <w:r w:rsidRPr="00BD68B7">
        <w:t xml:space="preserve">situation of the woman and child is not taken seriously by public </w:t>
      </w:r>
      <w:r w:rsidR="0069181A">
        <w:t>authorities</w:t>
      </w:r>
      <w:r w:rsidRPr="00BD68B7">
        <w:t>.</w:t>
      </w:r>
    </w:p>
    <w:p w14:paraId="4E4197F4" w14:textId="05B165C2" w:rsidR="001E2D7D" w:rsidRPr="00BD68B7" w:rsidRDefault="001E2D7D" w:rsidP="0026367F">
      <w:pPr>
        <w:pStyle w:val="Leipteksti2kappalenumeroilla"/>
      </w:pPr>
      <w:r w:rsidRPr="00BD68B7">
        <w:t>In the Ombudsman’s view, multiagent cooperation and use of expertise of NGOs and specialised legal professionals would be</w:t>
      </w:r>
      <w:r w:rsidR="005175D8" w:rsidRPr="00BD68B7">
        <w:t xml:space="preserve"> beneficial to </w:t>
      </w:r>
      <w:r w:rsidR="00394117" w:rsidRPr="00BD68B7">
        <w:t xml:space="preserve">better recognise intimate partner violence and its different forms in </w:t>
      </w:r>
      <w:r w:rsidR="002E1C54" w:rsidRPr="00BD68B7">
        <w:t xml:space="preserve">matters related to </w:t>
      </w:r>
      <w:r w:rsidR="00394117" w:rsidRPr="00BD68B7">
        <w:t>family law</w:t>
      </w:r>
      <w:r w:rsidR="00E561F4" w:rsidRPr="00BD68B7">
        <w:t xml:space="preserve">, often </w:t>
      </w:r>
      <w:r w:rsidR="002E1C54" w:rsidRPr="00BD68B7">
        <w:t xml:space="preserve">arising in </w:t>
      </w:r>
      <w:r w:rsidR="00E561F4" w:rsidRPr="00BD68B7">
        <w:t xml:space="preserve">situations of </w:t>
      </w:r>
      <w:r w:rsidR="0069181A">
        <w:t xml:space="preserve">separation and </w:t>
      </w:r>
      <w:r w:rsidR="002E1C54" w:rsidRPr="00BD68B7">
        <w:t>divorce</w:t>
      </w:r>
      <w:r w:rsidR="00394117" w:rsidRPr="00BD68B7">
        <w:t>.</w:t>
      </w:r>
    </w:p>
    <w:p w14:paraId="02124E51" w14:textId="79022B2E" w:rsidR="008507D5" w:rsidRPr="00BD68B7" w:rsidRDefault="002D4362" w:rsidP="001048FD">
      <w:pPr>
        <w:pStyle w:val="Otsikko2"/>
      </w:pPr>
      <w:r w:rsidRPr="00BD68B7">
        <w:lastRenderedPageBreak/>
        <w:t xml:space="preserve"> </w:t>
      </w:r>
      <w:bookmarkStart w:id="11" w:name="_Toc154142284"/>
      <w:r w:rsidR="008507D5" w:rsidRPr="00BD68B7">
        <w:t>Article 20: General support services</w:t>
      </w:r>
      <w:bookmarkEnd w:id="11"/>
      <w:r w:rsidR="008507D5" w:rsidRPr="00BD68B7">
        <w:t xml:space="preserve"> </w:t>
      </w:r>
    </w:p>
    <w:p w14:paraId="439E09E4" w14:textId="1B81FA5B" w:rsidR="0068711A" w:rsidRPr="00BD68B7" w:rsidRDefault="0068711A" w:rsidP="0068711A">
      <w:pPr>
        <w:pStyle w:val="Leipteksti2kappalenumeroilla"/>
      </w:pPr>
      <w:r w:rsidRPr="00BD68B7">
        <w:t>According to the Gender Based Violence 2021 Survey, only 20 percent of the women who had experienced physical violence, sexual violence, or threats of said violence by their partner, had talked about the violence in health services, 11 percent had reported to the police, and 8 percent of women had contacted victim support services.</w:t>
      </w:r>
      <w:r w:rsidR="00175A0A">
        <w:rPr>
          <w:rStyle w:val="Alaviitteenviite"/>
        </w:rPr>
        <w:footnoteReference w:id="7"/>
      </w:r>
    </w:p>
    <w:p w14:paraId="7D5CE91B" w14:textId="5D3933BC" w:rsidR="0045464F" w:rsidRPr="00BD68B7" w:rsidRDefault="0045464F" w:rsidP="0026367F">
      <w:pPr>
        <w:pStyle w:val="Leipteksti2kappalenumeroilla"/>
      </w:pPr>
      <w:r w:rsidRPr="00BD68B7">
        <w:t>As it seems that the threshold for women to tell any professionals about violence</w:t>
      </w:r>
      <w:r w:rsidR="008979D5" w:rsidRPr="00BD68B7">
        <w:t xml:space="preserve"> is very high</w:t>
      </w:r>
      <w:r w:rsidRPr="00BD68B7">
        <w:t>, the Ombudsman underlines the need to screen women systematically and routinely when they get in contact with general support services, especially in health care services</w:t>
      </w:r>
      <w:r w:rsidR="00561353" w:rsidRPr="00BD68B7">
        <w:t>,</w:t>
      </w:r>
      <w:r w:rsidRPr="00BD68B7">
        <w:t xml:space="preserve"> and including occupational health care.</w:t>
      </w:r>
    </w:p>
    <w:p w14:paraId="2C2F959E" w14:textId="05268808" w:rsidR="00306278" w:rsidRPr="00BD68B7" w:rsidRDefault="008979D5" w:rsidP="0026367F">
      <w:pPr>
        <w:pStyle w:val="Leipteksti2kappalenumeroilla"/>
      </w:pPr>
      <w:r w:rsidRPr="00BD68B7">
        <w:t>On the other hand</w:t>
      </w:r>
      <w:r w:rsidR="00561353" w:rsidRPr="00BD68B7">
        <w:t>, another study on intimate partner femicides reveals that women</w:t>
      </w:r>
      <w:r w:rsidRPr="00BD68B7">
        <w:t xml:space="preserve"> tend to</w:t>
      </w:r>
      <w:r w:rsidR="00561353" w:rsidRPr="00BD68B7">
        <w:t xml:space="preserve"> attend numerous times health services the year prior their death. Unfortunately, it seems that </w:t>
      </w:r>
      <w:r w:rsidRPr="00BD68B7">
        <w:t>these women are not screened and their need for help is not recognised as the</w:t>
      </w:r>
      <w:r w:rsidR="00E52335" w:rsidRPr="00BD68B7">
        <w:t xml:space="preserve">ir problems are </w:t>
      </w:r>
      <w:r w:rsidRPr="00BD68B7">
        <w:t>most</w:t>
      </w:r>
      <w:r w:rsidR="00E52335" w:rsidRPr="00BD68B7">
        <w:t>ly recorded as simply mental health issues</w:t>
      </w:r>
      <w:r w:rsidR="00B23EC3" w:rsidRPr="00BD68B7">
        <w:t xml:space="preserve"> without analysis of possible violence or threat of violence by their current or former partner.</w:t>
      </w:r>
      <w:r w:rsidR="008420A6">
        <w:rPr>
          <w:rStyle w:val="Alaviitteenviite"/>
        </w:rPr>
        <w:footnoteReference w:id="8"/>
      </w:r>
    </w:p>
    <w:p w14:paraId="60C4CCE5" w14:textId="7C7ECA0F" w:rsidR="00682582" w:rsidRDefault="00175A0A" w:rsidP="0026367F">
      <w:pPr>
        <w:pStyle w:val="Leipteksti2kappalenumeroilla"/>
      </w:pPr>
      <w:r w:rsidRPr="00BD68B7">
        <w:t xml:space="preserve">The Ombudsman wants also to point out </w:t>
      </w:r>
      <w:r>
        <w:t>that t</w:t>
      </w:r>
      <w:r w:rsidRPr="00A931B9">
        <w:t xml:space="preserve">he service system </w:t>
      </w:r>
      <w:r>
        <w:t xml:space="preserve">does </w:t>
      </w:r>
      <w:r w:rsidRPr="00A931B9">
        <w:t xml:space="preserve">not </w:t>
      </w:r>
      <w:r>
        <w:t xml:space="preserve">recognise </w:t>
      </w:r>
      <w:r w:rsidRPr="00A931B9">
        <w:t>the need for help and support of marginali</w:t>
      </w:r>
      <w:r>
        <w:t>s</w:t>
      </w:r>
      <w:r w:rsidRPr="00A931B9">
        <w:t>ed women</w:t>
      </w:r>
      <w:r>
        <w:t>.</w:t>
      </w:r>
      <w:r w:rsidRPr="00BD68B7">
        <w:t xml:space="preserve"> </w:t>
      </w:r>
      <w:r>
        <w:t xml:space="preserve">A roundtable discussion concluded that </w:t>
      </w:r>
      <w:r w:rsidR="00BD68B7" w:rsidRPr="00BD68B7">
        <w:t>marginalised women do not receive help in support services as their trauma history is often ignored.</w:t>
      </w:r>
      <w:r w:rsidR="00682582">
        <w:t xml:space="preserve"> These </w:t>
      </w:r>
      <w:r w:rsidR="00682582" w:rsidRPr="00682582">
        <w:t xml:space="preserve">women </w:t>
      </w:r>
      <w:r w:rsidR="00BB7944">
        <w:t xml:space="preserve">are </w:t>
      </w:r>
      <w:r w:rsidR="00682582" w:rsidRPr="00682582">
        <w:t xml:space="preserve">in difficult life situations, often associated with homelessness, heavy substance use and committing crimes. </w:t>
      </w:r>
      <w:r w:rsidR="00BB7944">
        <w:t>V</w:t>
      </w:r>
      <w:r w:rsidR="00682582" w:rsidRPr="00682582">
        <w:t>iolence is present in many ways</w:t>
      </w:r>
      <w:r w:rsidR="00BB7944">
        <w:t xml:space="preserve"> in their lives, and many </w:t>
      </w:r>
      <w:r w:rsidR="00682582" w:rsidRPr="00682582">
        <w:t xml:space="preserve">can be repeatedly subjected to sexual violence, </w:t>
      </w:r>
      <w:r w:rsidR="00BB7944">
        <w:t xml:space="preserve">making them </w:t>
      </w:r>
      <w:r w:rsidR="00682582" w:rsidRPr="00682582">
        <w:t>particularly vulnerable</w:t>
      </w:r>
      <w:r w:rsidR="00BB7944">
        <w:t>.</w:t>
      </w:r>
      <w:r w:rsidR="00682582" w:rsidRPr="00682582">
        <w:t xml:space="preserve"> </w:t>
      </w:r>
      <w:r w:rsidR="00BB7944">
        <w:t xml:space="preserve">CSOs contribute notably to the </w:t>
      </w:r>
      <w:r w:rsidR="00682582" w:rsidRPr="00682582">
        <w:t xml:space="preserve">women-specific work with </w:t>
      </w:r>
      <w:r>
        <w:t>marginalised</w:t>
      </w:r>
      <w:r w:rsidR="00682582" w:rsidRPr="00682582">
        <w:t xml:space="preserve"> women. For example, </w:t>
      </w:r>
      <w:r w:rsidR="00BB7944">
        <w:t>the</w:t>
      </w:r>
      <w:r>
        <w:t>y</w:t>
      </w:r>
      <w:r w:rsidR="00BB7944">
        <w:t xml:space="preserve"> </w:t>
      </w:r>
      <w:r>
        <w:t xml:space="preserve">execute outreach </w:t>
      </w:r>
      <w:r w:rsidR="00682582" w:rsidRPr="00682582">
        <w:t xml:space="preserve">work </w:t>
      </w:r>
      <w:r>
        <w:t xml:space="preserve">and get involved with </w:t>
      </w:r>
      <w:r w:rsidR="00682582" w:rsidRPr="00682582">
        <w:t>women's living environment</w:t>
      </w:r>
      <w:r>
        <w:t xml:space="preserve">. By </w:t>
      </w:r>
      <w:r w:rsidR="00682582" w:rsidRPr="00682582">
        <w:t xml:space="preserve">building trust </w:t>
      </w:r>
      <w:r>
        <w:t>on a long-term</w:t>
      </w:r>
      <w:r w:rsidR="00A4291B">
        <w:t xml:space="preserve"> with these women </w:t>
      </w:r>
      <w:r w:rsidR="00A4291B" w:rsidRPr="00682582">
        <w:t>in the margins of society</w:t>
      </w:r>
      <w:r>
        <w:t xml:space="preserve">, the CSOs’ </w:t>
      </w:r>
      <w:r w:rsidR="00A4291B">
        <w:t xml:space="preserve">gender-specific </w:t>
      </w:r>
      <w:r>
        <w:t xml:space="preserve">work is </w:t>
      </w:r>
      <w:r w:rsidRPr="00682582">
        <w:t>progress</w:t>
      </w:r>
      <w:r>
        <w:t>ive</w:t>
      </w:r>
      <w:r w:rsidR="00682582" w:rsidRPr="00682582">
        <w:t>.</w:t>
      </w:r>
    </w:p>
    <w:p w14:paraId="0A87C1CB" w14:textId="3DA73538" w:rsidR="00EF2EAF" w:rsidRDefault="00F3559E" w:rsidP="00490319">
      <w:pPr>
        <w:pStyle w:val="Leipteksti2kappalenumeroilla"/>
      </w:pPr>
      <w:r>
        <w:t>Regarding general housing services, ho</w:t>
      </w:r>
      <w:r w:rsidR="00A931B9" w:rsidRPr="00A931B9">
        <w:t xml:space="preserve">meless women do not necessarily apply for general housing services occupied by men, </w:t>
      </w:r>
      <w:r>
        <w:t xml:space="preserve">due to </w:t>
      </w:r>
      <w:r w:rsidR="00A931B9" w:rsidRPr="00A931B9">
        <w:t xml:space="preserve">restlessness, </w:t>
      </w:r>
      <w:r w:rsidR="005A6B42" w:rsidRPr="00A931B9">
        <w:t>insecurity,</w:t>
      </w:r>
      <w:r w:rsidR="00A931B9" w:rsidRPr="00A931B9">
        <w:t xml:space="preserve"> and direct violence </w:t>
      </w:r>
      <w:r>
        <w:t>in these premises</w:t>
      </w:r>
      <w:r w:rsidR="00A931B9" w:rsidRPr="00A931B9">
        <w:t xml:space="preserve">. The </w:t>
      </w:r>
      <w:r w:rsidR="005A6B42">
        <w:t xml:space="preserve">Ombudsman </w:t>
      </w:r>
      <w:r w:rsidR="00A931B9" w:rsidRPr="00A931B9">
        <w:t xml:space="preserve">is concerned that </w:t>
      </w:r>
      <w:r w:rsidR="00175A0A">
        <w:t>marginalised</w:t>
      </w:r>
      <w:r w:rsidR="00A931B9" w:rsidRPr="00A931B9">
        <w:t xml:space="preserve"> women's right to housing and safe living is not </w:t>
      </w:r>
      <w:r w:rsidR="005A6B42">
        <w:t>guaranteed</w:t>
      </w:r>
      <w:r w:rsidR="00A931B9" w:rsidRPr="00A931B9">
        <w:t>.</w:t>
      </w:r>
    </w:p>
    <w:p w14:paraId="52B187B9" w14:textId="32C3C5A0" w:rsidR="00C8520E" w:rsidRDefault="00C8520E" w:rsidP="005B661B">
      <w:pPr>
        <w:pStyle w:val="Leipteksti2kappalenumeroilla"/>
      </w:pPr>
      <w:r>
        <w:t xml:space="preserve">As for women and girl victims of trafficking, there seems to be </w:t>
      </w:r>
      <w:r w:rsidRPr="00C8520E">
        <w:t xml:space="preserve">no mechanisms or processes to identify victims of trafficking in public social and health </w:t>
      </w:r>
      <w:r w:rsidRPr="00C8520E">
        <w:t>care</w:t>
      </w:r>
      <w:r>
        <w:t xml:space="preserve"> or</w:t>
      </w:r>
      <w:r w:rsidRPr="00C8520E">
        <w:t xml:space="preserve"> gather information on possibly identified victims.</w:t>
      </w:r>
      <w:r>
        <w:t xml:space="preserve"> Yet, s</w:t>
      </w:r>
      <w:r w:rsidRPr="00C8520E">
        <w:t xml:space="preserve">ome forms of </w:t>
      </w:r>
      <w:r>
        <w:t xml:space="preserve">close relationship and </w:t>
      </w:r>
      <w:r w:rsidRPr="00C8520E">
        <w:t xml:space="preserve">intimate </w:t>
      </w:r>
      <w:r>
        <w:t xml:space="preserve">partner </w:t>
      </w:r>
      <w:r w:rsidRPr="00C8520E">
        <w:t xml:space="preserve">violence may constitute a trafficking offence. Also, due to the lack of guidance and steering, the knowledge on trafficking in human beings as a </w:t>
      </w:r>
      <w:r>
        <w:t xml:space="preserve">gendered </w:t>
      </w:r>
      <w:r w:rsidRPr="00C8520E">
        <w:t xml:space="preserve">phenomenon, identifying its victims, and offering the (specialized) services in the public social and health care services differ </w:t>
      </w:r>
      <w:r>
        <w:t>regionally and locally</w:t>
      </w:r>
      <w:r w:rsidRPr="00C8520E">
        <w:t>.</w:t>
      </w:r>
    </w:p>
    <w:p w14:paraId="1B815B00" w14:textId="2669333F" w:rsidR="00596E46" w:rsidRPr="005A6B42" w:rsidRDefault="00596E46" w:rsidP="005B661B">
      <w:pPr>
        <w:pStyle w:val="Leipteksti2kappalenumeroilla"/>
      </w:pPr>
      <w:r w:rsidRPr="00596E46">
        <w:t>The</w:t>
      </w:r>
      <w:r>
        <w:t xml:space="preserve">re </w:t>
      </w:r>
      <w:r w:rsidR="00B3447D">
        <w:t>is</w:t>
      </w:r>
      <w:r>
        <w:t xml:space="preserve"> no </w:t>
      </w:r>
      <w:r w:rsidRPr="00596E46">
        <w:t>speciali</w:t>
      </w:r>
      <w:r>
        <w:t>s</w:t>
      </w:r>
      <w:r w:rsidRPr="00596E46">
        <w:t>ed housing for victims of human trafficking, but the victims can benefit from the gener</w:t>
      </w:r>
      <w:r>
        <w:t>al</w:t>
      </w:r>
      <w:r w:rsidRPr="00596E46">
        <w:t xml:space="preserve"> services. However, these do not necessarily meet the </w:t>
      </w:r>
      <w:r>
        <w:t xml:space="preserve">victims’ </w:t>
      </w:r>
      <w:r w:rsidRPr="00596E46">
        <w:t xml:space="preserve">needs. </w:t>
      </w:r>
      <w:r>
        <w:t>T</w:t>
      </w:r>
      <w:r w:rsidRPr="00596E46">
        <w:t>he Parliament demanded improvement of the position of the victims of trafficking in human beings</w:t>
      </w:r>
      <w:r>
        <w:t xml:space="preserve"> based on the recommendations of t</w:t>
      </w:r>
      <w:r w:rsidRPr="00596E46">
        <w:t xml:space="preserve">he Non-Discrimination Ombudsman to the Parliament in 2022. </w:t>
      </w:r>
      <w:r>
        <w:t>T</w:t>
      </w:r>
      <w:r w:rsidRPr="00596E46">
        <w:t>here has</w:t>
      </w:r>
      <w:r w:rsidR="006B0A41">
        <w:t xml:space="preserve"> </w:t>
      </w:r>
      <w:r>
        <w:t>n</w:t>
      </w:r>
      <w:r w:rsidR="006B0A41">
        <w:t>o</w:t>
      </w:r>
      <w:r>
        <w:t>t</w:t>
      </w:r>
      <w:r w:rsidRPr="00596E46">
        <w:t xml:space="preserve"> been </w:t>
      </w:r>
      <w:r>
        <w:t xml:space="preserve">any </w:t>
      </w:r>
      <w:r w:rsidRPr="00596E46">
        <w:t>progress</w:t>
      </w:r>
      <w:r>
        <w:t xml:space="preserve"> so far</w:t>
      </w:r>
      <w:r w:rsidRPr="00596E46">
        <w:t>.</w:t>
      </w:r>
    </w:p>
    <w:p w14:paraId="5816F473" w14:textId="77777777" w:rsidR="008507D5" w:rsidRPr="00BD68B7" w:rsidRDefault="008507D5" w:rsidP="003F0859">
      <w:pPr>
        <w:pStyle w:val="Otsikko2"/>
      </w:pPr>
      <w:bookmarkStart w:id="12" w:name="_Toc154142285"/>
      <w:r w:rsidRPr="00BD68B7">
        <w:lastRenderedPageBreak/>
        <w:t xml:space="preserve">Questions specific to the </w:t>
      </w:r>
      <w:r w:rsidRPr="003F0859">
        <w:t>public</w:t>
      </w:r>
      <w:r w:rsidRPr="00BD68B7">
        <w:t xml:space="preserve"> health sector:</w:t>
      </w:r>
      <w:bookmarkEnd w:id="12"/>
    </w:p>
    <w:p w14:paraId="16DA17ED" w14:textId="5C987A65" w:rsidR="003F0859" w:rsidRPr="003F0859" w:rsidRDefault="003F0859" w:rsidP="0026367F">
      <w:pPr>
        <w:pStyle w:val="Leipteksti2kappalenumeroilla"/>
        <w:rPr>
          <w:lang w:val="en"/>
        </w:rPr>
      </w:pPr>
      <w:r w:rsidRPr="003F0859">
        <w:rPr>
          <w:lang w:val="en"/>
        </w:rPr>
        <w:t xml:space="preserve">The LAKU study found that </w:t>
      </w:r>
      <w:r w:rsidR="005A6B42">
        <w:rPr>
          <w:lang w:val="en"/>
        </w:rPr>
        <w:t xml:space="preserve">intimate partner </w:t>
      </w:r>
      <w:r w:rsidRPr="003F0859">
        <w:rPr>
          <w:lang w:val="en"/>
        </w:rPr>
        <w:t>violence</w:t>
      </w:r>
      <w:r w:rsidR="005A6B42">
        <w:rPr>
          <w:lang w:val="en"/>
        </w:rPr>
        <w:t xml:space="preserve"> against women </w:t>
      </w:r>
      <w:r w:rsidRPr="003F0859">
        <w:rPr>
          <w:lang w:val="en"/>
        </w:rPr>
        <w:t xml:space="preserve">is </w:t>
      </w:r>
      <w:r w:rsidR="005A6B42">
        <w:rPr>
          <w:lang w:val="en"/>
        </w:rPr>
        <w:t>alarmingly</w:t>
      </w:r>
      <w:r w:rsidRPr="003F0859">
        <w:rPr>
          <w:lang w:val="en"/>
        </w:rPr>
        <w:t xml:space="preserve"> poorly </w:t>
      </w:r>
      <w:r w:rsidR="005145EC">
        <w:rPr>
          <w:lang w:val="en"/>
        </w:rPr>
        <w:t xml:space="preserve">identified </w:t>
      </w:r>
      <w:r w:rsidRPr="003F0859">
        <w:rPr>
          <w:lang w:val="en"/>
        </w:rPr>
        <w:t>in health care and rarely discussed.</w:t>
      </w:r>
      <w:r w:rsidR="00BD3E41" w:rsidRPr="00BD3E41">
        <w:rPr>
          <w:rStyle w:val="Alaviitteenviite"/>
          <w:lang w:val="en"/>
        </w:rPr>
        <w:t xml:space="preserve"> </w:t>
      </w:r>
      <w:r w:rsidR="00BD3E41">
        <w:rPr>
          <w:rStyle w:val="Alaviitteenviite"/>
          <w:lang w:val="en"/>
        </w:rPr>
        <w:footnoteReference w:id="9"/>
      </w:r>
      <w:r w:rsidRPr="003F0859">
        <w:rPr>
          <w:lang w:val="en"/>
        </w:rPr>
        <w:t xml:space="preserve"> </w:t>
      </w:r>
      <w:r w:rsidR="00BD3E41">
        <w:rPr>
          <w:lang w:val="en"/>
        </w:rPr>
        <w:t>As</w:t>
      </w:r>
      <w:r w:rsidR="005145EC">
        <w:rPr>
          <w:lang w:val="en"/>
        </w:rPr>
        <w:t xml:space="preserve"> </w:t>
      </w:r>
      <w:r w:rsidRPr="003F0859">
        <w:rPr>
          <w:lang w:val="en"/>
        </w:rPr>
        <w:t xml:space="preserve">violence is </w:t>
      </w:r>
      <w:r w:rsidR="005145EC">
        <w:rPr>
          <w:lang w:val="en"/>
        </w:rPr>
        <w:t xml:space="preserve">not systematically screened </w:t>
      </w:r>
      <w:r w:rsidRPr="003F0859">
        <w:rPr>
          <w:lang w:val="en"/>
        </w:rPr>
        <w:t xml:space="preserve">and </w:t>
      </w:r>
      <w:r w:rsidR="005145EC">
        <w:rPr>
          <w:lang w:val="en"/>
        </w:rPr>
        <w:t>identified, risk assessment</w:t>
      </w:r>
      <w:r w:rsidR="00BD3E41">
        <w:rPr>
          <w:lang w:val="en"/>
        </w:rPr>
        <w:t xml:space="preserve"> and referral to specialist support services fail too</w:t>
      </w:r>
      <w:r w:rsidRPr="003F0859">
        <w:rPr>
          <w:lang w:val="en"/>
        </w:rPr>
        <w:t>.</w:t>
      </w:r>
    </w:p>
    <w:p w14:paraId="47D49F9C" w14:textId="70D27728" w:rsidR="003F0859" w:rsidRPr="003F0859" w:rsidRDefault="005A6B42" w:rsidP="0026367F">
      <w:pPr>
        <w:pStyle w:val="Leipteksti2kappalenumeroilla"/>
      </w:pPr>
      <w:r>
        <w:rPr>
          <w:lang w:val="en"/>
        </w:rPr>
        <w:t xml:space="preserve">The national Study on Intimate Partner Femicides concluded also that only few women had resorted to </w:t>
      </w:r>
      <w:r w:rsidR="00BD3E41">
        <w:rPr>
          <w:lang w:val="en"/>
        </w:rPr>
        <w:t xml:space="preserve">professionals and public </w:t>
      </w:r>
      <w:r>
        <w:rPr>
          <w:lang w:val="en"/>
        </w:rPr>
        <w:t>authorities</w:t>
      </w:r>
      <w:r w:rsidR="00BD3E41">
        <w:rPr>
          <w:lang w:val="en"/>
        </w:rPr>
        <w:t xml:space="preserve"> </w:t>
      </w:r>
      <w:r>
        <w:rPr>
          <w:lang w:val="en"/>
        </w:rPr>
        <w:t>disclos</w:t>
      </w:r>
      <w:r w:rsidR="00BD3E41">
        <w:rPr>
          <w:lang w:val="en"/>
        </w:rPr>
        <w:t>ing</w:t>
      </w:r>
      <w:r>
        <w:rPr>
          <w:lang w:val="en"/>
        </w:rPr>
        <w:t xml:space="preserve"> their experiences of violence</w:t>
      </w:r>
      <w:r w:rsidR="00742896">
        <w:rPr>
          <w:lang w:val="en"/>
        </w:rPr>
        <w:t>, fear, oppression,</w:t>
      </w:r>
      <w:r>
        <w:rPr>
          <w:lang w:val="en"/>
        </w:rPr>
        <w:t xml:space="preserve"> and </w:t>
      </w:r>
      <w:r w:rsidR="00BD3E41">
        <w:rPr>
          <w:lang w:val="en"/>
        </w:rPr>
        <w:t>possibly life-</w:t>
      </w:r>
      <w:r>
        <w:rPr>
          <w:lang w:val="en"/>
        </w:rPr>
        <w:t>threatening situation</w:t>
      </w:r>
      <w:r w:rsidR="003F0859" w:rsidRPr="003F0859">
        <w:rPr>
          <w:lang w:val="en"/>
        </w:rPr>
        <w:t xml:space="preserve">. </w:t>
      </w:r>
      <w:r>
        <w:rPr>
          <w:lang w:val="en"/>
        </w:rPr>
        <w:t xml:space="preserve">Many </w:t>
      </w:r>
      <w:r w:rsidR="00BD3E41">
        <w:rPr>
          <w:lang w:val="en"/>
        </w:rPr>
        <w:t xml:space="preserve">women </w:t>
      </w:r>
      <w:r>
        <w:rPr>
          <w:lang w:val="en"/>
        </w:rPr>
        <w:t xml:space="preserve">had </w:t>
      </w:r>
      <w:r w:rsidR="003F0859" w:rsidRPr="003F0859">
        <w:rPr>
          <w:lang w:val="en"/>
        </w:rPr>
        <w:t>visit</w:t>
      </w:r>
      <w:r>
        <w:rPr>
          <w:lang w:val="en"/>
        </w:rPr>
        <w:t xml:space="preserve">ed repeatedly </w:t>
      </w:r>
      <w:r w:rsidR="003F0859" w:rsidRPr="003F0859">
        <w:rPr>
          <w:lang w:val="en"/>
        </w:rPr>
        <w:t xml:space="preserve">health care, but rarely </w:t>
      </w:r>
      <w:r>
        <w:rPr>
          <w:lang w:val="en"/>
        </w:rPr>
        <w:t xml:space="preserve">explicitly due to intimate partner </w:t>
      </w:r>
      <w:r w:rsidR="003F0859" w:rsidRPr="003F0859">
        <w:rPr>
          <w:lang w:val="en"/>
        </w:rPr>
        <w:t xml:space="preserve">violence </w:t>
      </w:r>
      <w:r w:rsidR="00BD3E41">
        <w:rPr>
          <w:lang w:val="en"/>
        </w:rPr>
        <w:t>– or</w:t>
      </w:r>
      <w:r w:rsidR="003F0859" w:rsidRPr="003F0859">
        <w:rPr>
          <w:lang w:val="en"/>
        </w:rPr>
        <w:t xml:space="preserve"> at least </w:t>
      </w:r>
      <w:r w:rsidR="00BD3E41">
        <w:rPr>
          <w:lang w:val="en"/>
        </w:rPr>
        <w:t xml:space="preserve">their visits were not </w:t>
      </w:r>
      <w:r w:rsidR="003F0859" w:rsidRPr="003F0859">
        <w:rPr>
          <w:lang w:val="en"/>
        </w:rPr>
        <w:t>recorded as visit</w:t>
      </w:r>
      <w:r w:rsidR="00BD3E41">
        <w:rPr>
          <w:lang w:val="en"/>
        </w:rPr>
        <w:t>s</w:t>
      </w:r>
      <w:r w:rsidR="003F0859" w:rsidRPr="003F0859">
        <w:rPr>
          <w:lang w:val="en"/>
        </w:rPr>
        <w:t xml:space="preserve"> related to violence.</w:t>
      </w:r>
      <w:r w:rsidR="005145EC">
        <w:rPr>
          <w:rStyle w:val="Alaviitteenviite"/>
          <w:lang w:val="en"/>
        </w:rPr>
        <w:footnoteReference w:id="10"/>
      </w:r>
    </w:p>
    <w:p w14:paraId="7A334474" w14:textId="77777777" w:rsidR="005E75EC" w:rsidRPr="00BD68B7" w:rsidRDefault="005E75EC" w:rsidP="006130F6">
      <w:pPr>
        <w:pStyle w:val="Eivli"/>
      </w:pPr>
    </w:p>
    <w:p w14:paraId="02A91079" w14:textId="4D931833" w:rsidR="00DB4C94" w:rsidRPr="00BD68B7" w:rsidRDefault="00DB4C94" w:rsidP="00EE3E96">
      <w:pPr>
        <w:pStyle w:val="Otsikko2"/>
      </w:pPr>
      <w:bookmarkStart w:id="13" w:name="_Toc154142286"/>
      <w:r w:rsidRPr="00BD68B7">
        <w:t>Article 22: Specialist support services</w:t>
      </w:r>
      <w:bookmarkEnd w:id="13"/>
      <w:r w:rsidRPr="00BD68B7">
        <w:t xml:space="preserve"> </w:t>
      </w:r>
    </w:p>
    <w:p w14:paraId="44AD61AE" w14:textId="2FA9CFC3" w:rsidR="00530F9C" w:rsidRPr="00BD68B7" w:rsidRDefault="00530F9C" w:rsidP="0026367F">
      <w:pPr>
        <w:pStyle w:val="Leipteksti2kappalenumeroilla"/>
      </w:pPr>
      <w:r w:rsidRPr="00BD68B7">
        <w:t>Finland does not provide public specialist support services targeting only women. Specialist support services referred to in the Government’s report are always accessible for both women and men.</w:t>
      </w:r>
    </w:p>
    <w:p w14:paraId="692D09A6" w14:textId="5C0191A7" w:rsidR="0026642C" w:rsidRPr="00BD68B7" w:rsidRDefault="005F1A2C" w:rsidP="0026367F">
      <w:pPr>
        <w:pStyle w:val="Leipteksti2kappalenumeroilla"/>
      </w:pPr>
      <w:r w:rsidRPr="00BD68B7">
        <w:t xml:space="preserve">It </w:t>
      </w:r>
      <w:r w:rsidR="00C921E1" w:rsidRPr="00BD68B7">
        <w:t xml:space="preserve">is and </w:t>
      </w:r>
      <w:r w:rsidRPr="00BD68B7">
        <w:t xml:space="preserve">has been the task </w:t>
      </w:r>
      <w:r w:rsidR="003360D5" w:rsidRPr="00BD68B7">
        <w:t>of</w:t>
      </w:r>
      <w:r w:rsidRPr="00BD68B7">
        <w:t xml:space="preserve"> </w:t>
      </w:r>
      <w:r w:rsidR="00530F9C" w:rsidRPr="00BD68B7">
        <w:t xml:space="preserve">NGOs </w:t>
      </w:r>
      <w:r w:rsidRPr="00BD68B7">
        <w:t xml:space="preserve">to </w:t>
      </w:r>
      <w:r w:rsidR="00530F9C" w:rsidRPr="00BD68B7">
        <w:t>provid</w:t>
      </w:r>
      <w:r w:rsidRPr="00BD68B7">
        <w:t>e</w:t>
      </w:r>
      <w:r w:rsidR="00530F9C" w:rsidRPr="00BD68B7">
        <w:t xml:space="preserve"> women-specific </w:t>
      </w:r>
      <w:r w:rsidRPr="00BD68B7">
        <w:t>and gender-sensitive support services</w:t>
      </w:r>
      <w:r w:rsidR="00C921E1" w:rsidRPr="00BD68B7">
        <w:t xml:space="preserve"> in Finland</w:t>
      </w:r>
      <w:r w:rsidRPr="00BD68B7">
        <w:t>. For instance, Women’s Line (</w:t>
      </w:r>
      <w:proofErr w:type="spellStart"/>
      <w:r w:rsidRPr="00BD68B7">
        <w:t>Naisten</w:t>
      </w:r>
      <w:proofErr w:type="spellEnd"/>
      <w:r w:rsidRPr="00BD68B7">
        <w:t xml:space="preserve"> Linja, established in 1999) </w:t>
      </w:r>
      <w:r w:rsidR="003360D5" w:rsidRPr="00BD68B7">
        <w:t xml:space="preserve">is a help line and chat </w:t>
      </w:r>
      <w:r w:rsidRPr="00BD68B7">
        <w:t>service to girl</w:t>
      </w:r>
      <w:r w:rsidR="003360D5" w:rsidRPr="00BD68B7">
        <w:t xml:space="preserve"> and</w:t>
      </w:r>
      <w:r w:rsidRPr="00BD68B7">
        <w:t xml:space="preserve"> women</w:t>
      </w:r>
      <w:r w:rsidR="003360D5" w:rsidRPr="00BD68B7">
        <w:t xml:space="preserve"> victims</w:t>
      </w:r>
      <w:r w:rsidRPr="00BD68B7">
        <w:t xml:space="preserve">, and to those close to them. </w:t>
      </w:r>
      <w:r w:rsidR="00D7569E" w:rsidRPr="00BD68B7">
        <w:t>Additionally, t</w:t>
      </w:r>
      <w:r w:rsidR="003360D5" w:rsidRPr="00BD68B7">
        <w:t xml:space="preserve">hey </w:t>
      </w:r>
      <w:r w:rsidRPr="00BD68B7">
        <w:t xml:space="preserve">organise support groups online and face-to-face in Helsinki. Tukinainen, established in 1993, </w:t>
      </w:r>
      <w:r w:rsidR="007B3497" w:rsidRPr="00BD68B7">
        <w:t>is a support organization for victims of sexual violence.</w:t>
      </w:r>
      <w:r w:rsidR="00814F8B">
        <w:t xml:space="preserve"> Furthermore, </w:t>
      </w:r>
      <w:r w:rsidR="00814F8B" w:rsidRPr="00814F8B">
        <w:t>Rose-home provides housing and psycho-so</w:t>
      </w:r>
      <w:r w:rsidR="00814F8B">
        <w:t>c</w:t>
      </w:r>
      <w:r w:rsidR="00814F8B" w:rsidRPr="00814F8B">
        <w:t>ial support for women victims of human trafficking and their children.</w:t>
      </w:r>
    </w:p>
    <w:p w14:paraId="77371177" w14:textId="1E6D20E0" w:rsidR="005440C8" w:rsidRDefault="00B70DC3" w:rsidP="0026367F">
      <w:pPr>
        <w:pStyle w:val="Leipteksti2kappalenumeroilla"/>
      </w:pPr>
      <w:r w:rsidRPr="00BD68B7">
        <w:t>The Federation of Mother and Child Homes and Shelters</w:t>
      </w:r>
      <w:r w:rsidR="005440C8" w:rsidRPr="00BD68B7">
        <w:t xml:space="preserve"> has 31 member associations</w:t>
      </w:r>
      <w:r w:rsidR="004C4FF4" w:rsidRPr="00BD68B7">
        <w:t>, who operate 19 shelters</w:t>
      </w:r>
      <w:r w:rsidR="00D7569E" w:rsidRPr="00BD68B7">
        <w:t xml:space="preserve">. </w:t>
      </w:r>
      <w:r w:rsidR="00010583" w:rsidRPr="00BD68B7">
        <w:t>I</w:t>
      </w:r>
      <w:r w:rsidR="00D7569E" w:rsidRPr="00BD68B7">
        <w:t>t</w:t>
      </w:r>
      <w:r w:rsidR="00C921E1" w:rsidRPr="00BD68B7">
        <w:t xml:space="preserve">s member associations provide crucial help for many </w:t>
      </w:r>
      <w:r w:rsidR="004C4FF4" w:rsidRPr="00BD68B7">
        <w:t>women, especially mother</w:t>
      </w:r>
      <w:r w:rsidR="00435EDE" w:rsidRPr="00BD68B7">
        <w:t>s</w:t>
      </w:r>
      <w:r w:rsidR="004C4FF4" w:rsidRPr="00BD68B7">
        <w:t xml:space="preserve"> who suffer from intimate partner violence. </w:t>
      </w:r>
      <w:r w:rsidR="008A432C">
        <w:t>They are</w:t>
      </w:r>
      <w:r w:rsidR="00D7569E" w:rsidRPr="00BD68B7">
        <w:t xml:space="preserve"> </w:t>
      </w:r>
      <w:r w:rsidR="004C4FF4" w:rsidRPr="00BD68B7">
        <w:t xml:space="preserve">also </w:t>
      </w:r>
      <w:r w:rsidR="00D7569E" w:rsidRPr="00BD68B7">
        <w:t xml:space="preserve">the only agent providing </w:t>
      </w:r>
      <w:r w:rsidR="005440C8" w:rsidRPr="00BD68B7">
        <w:t xml:space="preserve">specialised </w:t>
      </w:r>
      <w:r w:rsidR="00D7569E" w:rsidRPr="00BD68B7">
        <w:t xml:space="preserve">support </w:t>
      </w:r>
      <w:r w:rsidR="005440C8" w:rsidRPr="00BD68B7">
        <w:t>for victims of stalking</w:t>
      </w:r>
      <w:r w:rsidR="00D7569E" w:rsidRPr="00BD68B7">
        <w:t xml:space="preserve"> </w:t>
      </w:r>
      <w:r w:rsidR="00010583" w:rsidRPr="00BD68B7">
        <w:t>through</w:t>
      </w:r>
      <w:r w:rsidR="00D7569E" w:rsidRPr="00BD68B7">
        <w:t xml:space="preserve"> the Support Centre </w:t>
      </w:r>
      <w:proofErr w:type="spellStart"/>
      <w:r w:rsidR="00D7569E" w:rsidRPr="00BD68B7">
        <w:t>Varjo</w:t>
      </w:r>
      <w:proofErr w:type="spellEnd"/>
      <w:r w:rsidR="00010583" w:rsidRPr="00BD68B7">
        <w:t xml:space="preserve">. The support Centre </w:t>
      </w:r>
      <w:proofErr w:type="spellStart"/>
      <w:r w:rsidR="00010583" w:rsidRPr="00BD68B7">
        <w:t>Varjo</w:t>
      </w:r>
      <w:proofErr w:type="spellEnd"/>
      <w:r w:rsidR="00010583" w:rsidRPr="00BD68B7">
        <w:t xml:space="preserve"> </w:t>
      </w:r>
      <w:r w:rsidR="005A6B42">
        <w:t xml:space="preserve">identifies </w:t>
      </w:r>
      <w:r w:rsidR="00010583" w:rsidRPr="00BD68B7">
        <w:t xml:space="preserve">the different </w:t>
      </w:r>
      <w:r w:rsidR="00C921E1" w:rsidRPr="00BD68B7">
        <w:t>elements of</w:t>
      </w:r>
      <w:r w:rsidR="004C4FF4" w:rsidRPr="00BD68B7">
        <w:t xml:space="preserve"> violence</w:t>
      </w:r>
      <w:r w:rsidR="00C921E1" w:rsidRPr="00BD68B7">
        <w:t xml:space="preserve"> </w:t>
      </w:r>
      <w:r w:rsidR="00010583" w:rsidRPr="00BD68B7">
        <w:t xml:space="preserve">by the former partner </w:t>
      </w:r>
      <w:r w:rsidR="00552081" w:rsidRPr="00BD68B7">
        <w:t xml:space="preserve">and </w:t>
      </w:r>
      <w:r w:rsidR="005A6B42">
        <w:t xml:space="preserve">gives support against </w:t>
      </w:r>
      <w:r w:rsidR="00552081" w:rsidRPr="00BD68B7">
        <w:t xml:space="preserve">the oppression in post-separation conflicts </w:t>
      </w:r>
      <w:r w:rsidR="00391307">
        <w:t>which</w:t>
      </w:r>
      <w:r w:rsidR="00010583" w:rsidRPr="00BD68B7">
        <w:t xml:space="preserve"> some women may endure for years.</w:t>
      </w:r>
    </w:p>
    <w:p w14:paraId="02DCD718" w14:textId="3D3E8633" w:rsidR="001B3662" w:rsidRPr="001B3662" w:rsidRDefault="001B3662" w:rsidP="0026367F">
      <w:pPr>
        <w:pStyle w:val="Leipteksti2kappalenumeroilla"/>
      </w:pPr>
      <w:r w:rsidRPr="001B3662">
        <w:t>It's good that organizations have expertise, they are able to at least partly respond to demand and react to changes (</w:t>
      </w:r>
      <w:proofErr w:type="gramStart"/>
      <w:r w:rsidRPr="001B3662">
        <w:t>e.g.</w:t>
      </w:r>
      <w:proofErr w:type="gramEnd"/>
      <w:r w:rsidRPr="001B3662">
        <w:t xml:space="preserve"> identifying digital violence and supporting victims)</w:t>
      </w:r>
    </w:p>
    <w:p w14:paraId="0E733A53" w14:textId="6B789C69" w:rsidR="001B3662" w:rsidRPr="001B3662" w:rsidRDefault="001B3662" w:rsidP="0026367F">
      <w:pPr>
        <w:pStyle w:val="Leipteksti2kappalenumeroilla"/>
      </w:pPr>
      <w:r w:rsidRPr="001B3662">
        <w:t xml:space="preserve">The geographic coverage of the services suffers; continuity suffers due to the fixed-term funding model, and </w:t>
      </w:r>
      <w:proofErr w:type="gramStart"/>
      <w:r w:rsidRPr="001B3662">
        <w:t>e.g.</w:t>
      </w:r>
      <w:proofErr w:type="gramEnd"/>
      <w:r w:rsidRPr="001B3662">
        <w:t xml:space="preserve"> the STEA funding model does not allow the provision of longer-term subsidies; now the funding is also being cut.</w:t>
      </w:r>
    </w:p>
    <w:p w14:paraId="75913BC5" w14:textId="0F2B70B4" w:rsidR="001B3662" w:rsidRPr="001B3662" w:rsidRDefault="001B3662" w:rsidP="0026367F">
      <w:pPr>
        <w:pStyle w:val="Leipteksti2kappalenumeroilla"/>
      </w:pPr>
      <w:r w:rsidRPr="001B3662">
        <w:t xml:space="preserve">It </w:t>
      </w:r>
      <w:r w:rsidR="008F743D">
        <w:t xml:space="preserve">could be useful if -- </w:t>
      </w:r>
      <w:r w:rsidRPr="001B3662">
        <w:t>organi</w:t>
      </w:r>
      <w:r w:rsidR="008F743D">
        <w:t>s</w:t>
      </w:r>
      <w:r w:rsidRPr="001B3662">
        <w:t xml:space="preserve">ations </w:t>
      </w:r>
      <w:r w:rsidR="008F743D">
        <w:t>followed</w:t>
      </w:r>
      <w:r w:rsidRPr="001B3662">
        <w:t xml:space="preserve"> the number of customers and how the management of the service is carried out. For example, STEA-funded activities must already be reported, but reporting could be developed and utilized in evaluating the effectiveness of anti-violence work.</w:t>
      </w:r>
    </w:p>
    <w:p w14:paraId="45045D8F" w14:textId="71D54C4F" w:rsidR="001B3662" w:rsidRPr="00BD68B7" w:rsidRDefault="001B3662" w:rsidP="0026367F">
      <w:pPr>
        <w:pStyle w:val="Leipteksti2kappalenumeroilla"/>
      </w:pPr>
      <w:r w:rsidRPr="001B3662">
        <w:lastRenderedPageBreak/>
        <w:t>In general, the role of organizations as providers of services should be recognised</w:t>
      </w:r>
      <w:r>
        <w:t>.</w:t>
      </w:r>
    </w:p>
    <w:p w14:paraId="37093300" w14:textId="2AD88EEC" w:rsidR="00CF6A87" w:rsidRPr="00BD68B7" w:rsidRDefault="00CF6A87" w:rsidP="0026367F">
      <w:pPr>
        <w:pStyle w:val="Leipteksti2kappalenumeroilla"/>
      </w:pPr>
      <w:r w:rsidRPr="00BD68B7">
        <w:t xml:space="preserve">The service system has not been analysed from the point of view of accessibility. Many organisations collect some data on the prevalence of violence and guidance of victims to the services. However, the data is not gathered systematically and put together. For instance, according to the help line service </w:t>
      </w:r>
      <w:proofErr w:type="spellStart"/>
      <w:r w:rsidRPr="00BD68B7">
        <w:t>Nollalinja</w:t>
      </w:r>
      <w:proofErr w:type="spellEnd"/>
      <w:r w:rsidRPr="00BD68B7">
        <w:t>, one third of the callers had not sought help from anywhere else before contacting the help line.</w:t>
      </w:r>
    </w:p>
    <w:p w14:paraId="2E2EAF14" w14:textId="1E7FD795" w:rsidR="000163B2" w:rsidRDefault="000163B2" w:rsidP="0026367F">
      <w:pPr>
        <w:pStyle w:val="Leipteksti2kappalenumeroilla"/>
      </w:pPr>
      <w:r w:rsidRPr="00BD68B7">
        <w:t>The Ombudsman also notes with concern that marginalised women, that is, women with substance abuse issues and/or mental health problems often have a long history of trauma and abuse. Yet there is no targeted support for marginalised women, and services such as regular shelters are excluded for them. Also, a study on female prisoners shows, that women who end up in prison have often previous traumas and represent the prisoner group with the most health problems.</w:t>
      </w:r>
      <w:r w:rsidRPr="00BD68B7">
        <w:rPr>
          <w:rStyle w:val="Alaviitteenviite"/>
          <w:rFonts w:eastAsia="Times New Roman" w:cs="Times New Roman"/>
        </w:rPr>
        <w:footnoteReference w:id="11"/>
      </w:r>
      <w:r w:rsidR="00345FD4">
        <w:t xml:space="preserve"> Yet, female prisoners receive seldom trauma-sensitive support.</w:t>
      </w:r>
    </w:p>
    <w:p w14:paraId="0C02FAD2" w14:textId="564EF704" w:rsidR="00DB4C94" w:rsidRPr="0034550B" w:rsidRDefault="00DB4C94" w:rsidP="00BD677F">
      <w:pPr>
        <w:pStyle w:val="Otsikko2"/>
      </w:pPr>
      <w:bookmarkStart w:id="14" w:name="_Toc154142287"/>
      <w:r w:rsidRPr="00BD68B7">
        <w:t>Article 25: Support to victims of sexual violence</w:t>
      </w:r>
      <w:bookmarkEnd w:id="14"/>
    </w:p>
    <w:p w14:paraId="77064719" w14:textId="33728EEC" w:rsidR="00307A97" w:rsidRPr="0034550B" w:rsidRDefault="00EF7681" w:rsidP="0026367F">
      <w:pPr>
        <w:pStyle w:val="Leipteksti2kappalenumeroilla"/>
      </w:pPr>
      <w:r>
        <w:t xml:space="preserve">The Ombudsman finds the network of </w:t>
      </w:r>
      <w:r w:rsidR="00307A97" w:rsidRPr="0034550B">
        <w:t>SERI support cent</w:t>
      </w:r>
      <w:r>
        <w:t>re</w:t>
      </w:r>
      <w:r w:rsidR="00307A97" w:rsidRPr="0034550B">
        <w:t>s</w:t>
      </w:r>
      <w:r>
        <w:t xml:space="preserve"> an important step in advancing women’s rights and access to services. Notwithstanding, as the centres </w:t>
      </w:r>
      <w:r w:rsidR="00307A97" w:rsidRPr="0034550B">
        <w:t xml:space="preserve">operate </w:t>
      </w:r>
      <w:r>
        <w:t xml:space="preserve">as a part of </w:t>
      </w:r>
      <w:r w:rsidR="00307A97" w:rsidRPr="0034550B">
        <w:t xml:space="preserve">women's clinics, </w:t>
      </w:r>
      <w:r>
        <w:t xml:space="preserve">in times of cutting public expenditure, </w:t>
      </w:r>
      <w:r w:rsidR="00307A97" w:rsidRPr="0034550B">
        <w:t xml:space="preserve">there is a risk that the units </w:t>
      </w:r>
      <w:r w:rsidR="00C533DE" w:rsidRPr="0034550B">
        <w:t>must</w:t>
      </w:r>
      <w:r w:rsidR="00307A97" w:rsidRPr="0034550B">
        <w:t xml:space="preserve"> prioritize other activities </w:t>
      </w:r>
      <w:r>
        <w:t>at the cost of supporting victims of sexual violence.</w:t>
      </w:r>
      <w:r w:rsidR="00307A97" w:rsidRPr="0034550B">
        <w:t xml:space="preserve"> </w:t>
      </w:r>
      <w:r w:rsidR="00C533DE">
        <w:t>Coordination of and monitoring the SERI support centres on national level by THL would better guarantee the continuation of and developing their work.</w:t>
      </w:r>
    </w:p>
    <w:p w14:paraId="7D9CEA4F" w14:textId="1C8A925F" w:rsidR="001068D2" w:rsidRPr="00BD68B7" w:rsidRDefault="001068D2" w:rsidP="00EE3E96">
      <w:pPr>
        <w:pStyle w:val="Otsikko2"/>
      </w:pPr>
      <w:bookmarkStart w:id="15" w:name="_Toc154142288"/>
      <w:r w:rsidRPr="00BD68B7">
        <w:t>Article 31: Custody, visitation rights and safety</w:t>
      </w:r>
      <w:bookmarkEnd w:id="15"/>
      <w:r w:rsidRPr="00BD68B7">
        <w:t xml:space="preserve"> </w:t>
      </w:r>
    </w:p>
    <w:p w14:paraId="166B7FA1" w14:textId="1E9FCEFC" w:rsidR="004C146F" w:rsidRPr="00BD68B7" w:rsidRDefault="004C146F" w:rsidP="0026367F">
      <w:pPr>
        <w:pStyle w:val="Leipteksti2kappalenumeroilla"/>
      </w:pPr>
      <w:r w:rsidRPr="00BD68B7">
        <w:t xml:space="preserve">The </w:t>
      </w:r>
      <w:r w:rsidR="00752133" w:rsidRPr="00BD68B7">
        <w:t xml:space="preserve">Ombudsman’s </w:t>
      </w:r>
      <w:r w:rsidRPr="00BD68B7">
        <w:t>roundtable discuss</w:t>
      </w:r>
      <w:r w:rsidR="00752133" w:rsidRPr="00BD68B7">
        <w:t xml:space="preserve">ion on </w:t>
      </w:r>
      <w:r w:rsidRPr="00BD68B7">
        <w:t xml:space="preserve">economic violence </w:t>
      </w:r>
      <w:r w:rsidR="00752133" w:rsidRPr="00BD68B7">
        <w:t xml:space="preserve">noted that </w:t>
      </w:r>
      <w:r w:rsidRPr="00BD68B7">
        <w:t xml:space="preserve">after </w:t>
      </w:r>
      <w:r w:rsidR="000044FB" w:rsidRPr="00BD68B7">
        <w:t>divorce</w:t>
      </w:r>
      <w:r w:rsidRPr="00BD68B7">
        <w:t xml:space="preserve">, the perpetrator can delay </w:t>
      </w:r>
      <w:r w:rsidR="000044FB" w:rsidRPr="00BD68B7">
        <w:t xml:space="preserve">on purpose </w:t>
      </w:r>
      <w:r w:rsidRPr="00BD68B7">
        <w:t xml:space="preserve">the arrangements related to the </w:t>
      </w:r>
      <w:r w:rsidR="000044FB" w:rsidRPr="00BD68B7">
        <w:t>separation</w:t>
      </w:r>
      <w:r w:rsidRPr="00BD68B7">
        <w:t xml:space="preserve"> and </w:t>
      </w:r>
      <w:r w:rsidR="0041173C" w:rsidRPr="00BD68B7">
        <w:t xml:space="preserve">the distribution of matrimonial </w:t>
      </w:r>
      <w:r w:rsidRPr="00BD68B7">
        <w:t xml:space="preserve">assets. </w:t>
      </w:r>
      <w:r w:rsidR="000044FB" w:rsidRPr="00BD68B7">
        <w:t>If the n</w:t>
      </w:r>
      <w:r w:rsidRPr="00BD68B7">
        <w:t>egl</w:t>
      </w:r>
      <w:r w:rsidR="000044FB" w:rsidRPr="00BD68B7">
        <w:t xml:space="preserve">igence also concerns </w:t>
      </w:r>
      <w:r w:rsidRPr="00BD68B7">
        <w:t>child support, the child's quality of life and wellbeing can suffer.</w:t>
      </w:r>
      <w:r w:rsidR="000044FB" w:rsidRPr="00BD68B7">
        <w:t xml:space="preserve"> Consideration of legal</w:t>
      </w:r>
      <w:r w:rsidR="004D3E48" w:rsidRPr="00BD68B7">
        <w:t xml:space="preserve"> disputes between divorcing spouses</w:t>
      </w:r>
      <w:r w:rsidR="000044FB" w:rsidRPr="00BD68B7">
        <w:t xml:space="preserve"> often ignores </w:t>
      </w:r>
      <w:r w:rsidRPr="00BD68B7">
        <w:t xml:space="preserve">economic violence as a form of intimate partner violence. </w:t>
      </w:r>
      <w:r w:rsidR="004F7B27">
        <w:t>If</w:t>
      </w:r>
      <w:r w:rsidR="000044FB" w:rsidRPr="00BD68B7">
        <w:t xml:space="preserve"> the control and abuse experience</w:t>
      </w:r>
      <w:r w:rsidR="00464C0A" w:rsidRPr="00BD68B7">
        <w:t>d</w:t>
      </w:r>
      <w:r w:rsidR="000044FB" w:rsidRPr="00BD68B7">
        <w:t xml:space="preserve"> by the woman is </w:t>
      </w:r>
      <w:r w:rsidR="004F7B27">
        <w:t>ignored</w:t>
      </w:r>
      <w:r w:rsidR="000044FB" w:rsidRPr="00BD68B7">
        <w:t xml:space="preserve">, </w:t>
      </w:r>
      <w:r w:rsidR="004F7B27" w:rsidRPr="00BD68B7">
        <w:t xml:space="preserve">her need for psychological support and legal aid </w:t>
      </w:r>
      <w:r w:rsidR="004F7B27">
        <w:t>is</w:t>
      </w:r>
      <w:r w:rsidR="004F7B27" w:rsidRPr="00BD68B7">
        <w:t xml:space="preserve"> not recognised</w:t>
      </w:r>
      <w:r w:rsidR="004F7B27" w:rsidRPr="00BD68B7">
        <w:t xml:space="preserve"> </w:t>
      </w:r>
      <w:r w:rsidR="004F7B27">
        <w:t xml:space="preserve">and </w:t>
      </w:r>
      <w:r w:rsidRPr="00BD68B7">
        <w:t xml:space="preserve">she is considered </w:t>
      </w:r>
      <w:r w:rsidR="000044FB" w:rsidRPr="00BD68B7">
        <w:t xml:space="preserve">as an equal party </w:t>
      </w:r>
      <w:r w:rsidR="00857F05">
        <w:t xml:space="preserve">able to give informed consent and </w:t>
      </w:r>
      <w:r w:rsidR="000044FB" w:rsidRPr="00BD68B7">
        <w:t xml:space="preserve">to enter negotiations with the perpetrator. Her safety and wellbeing are </w:t>
      </w:r>
      <w:r w:rsidR="004F7B27">
        <w:t xml:space="preserve">thus </w:t>
      </w:r>
      <w:r w:rsidR="000044FB" w:rsidRPr="00BD68B7">
        <w:t xml:space="preserve">not ensured, and she might be </w:t>
      </w:r>
      <w:r w:rsidRPr="00BD68B7">
        <w:t xml:space="preserve">pressured </w:t>
      </w:r>
      <w:r w:rsidR="000044FB" w:rsidRPr="00BD68B7">
        <w:t xml:space="preserve">to agree on </w:t>
      </w:r>
      <w:r w:rsidRPr="00BD68B7">
        <w:t>joint custody</w:t>
      </w:r>
      <w:r w:rsidR="000044FB" w:rsidRPr="00BD68B7">
        <w:t xml:space="preserve"> of children</w:t>
      </w:r>
      <w:r w:rsidR="00857F05">
        <w:t xml:space="preserve"> and other issues related to the divorce, assets, and children</w:t>
      </w:r>
      <w:r w:rsidRPr="00BD68B7">
        <w:t>.</w:t>
      </w:r>
    </w:p>
    <w:p w14:paraId="262BDCD7" w14:textId="3BC889CF" w:rsidR="00D62909" w:rsidRPr="00BD68B7" w:rsidRDefault="00464C0A" w:rsidP="00857F05">
      <w:pPr>
        <w:pStyle w:val="Leipteksti2kappalenumeroilla"/>
      </w:pPr>
      <w:r w:rsidRPr="00BD68B7">
        <w:t>T</w:t>
      </w:r>
      <w:r w:rsidR="009661F3" w:rsidRPr="00BD68B7">
        <w:t xml:space="preserve">he Ombudsman wishes to draw attention to the fact that </w:t>
      </w:r>
      <w:r w:rsidR="00D62909" w:rsidRPr="00BD68B7">
        <w:t>post-</w:t>
      </w:r>
      <w:r w:rsidR="009661F3" w:rsidRPr="00BD68B7">
        <w:t xml:space="preserve">separation </w:t>
      </w:r>
      <w:r w:rsidR="00D62909" w:rsidRPr="00BD68B7">
        <w:t xml:space="preserve">violence </w:t>
      </w:r>
      <w:r w:rsidR="009661F3" w:rsidRPr="00BD68B7">
        <w:t xml:space="preserve">can be very long-lasting and </w:t>
      </w:r>
      <w:r w:rsidR="00857F05">
        <w:t xml:space="preserve">can </w:t>
      </w:r>
      <w:r w:rsidR="009661F3" w:rsidRPr="00BD68B7">
        <w:t xml:space="preserve">have significant </w:t>
      </w:r>
      <w:r w:rsidR="00D62909" w:rsidRPr="00BD68B7">
        <w:t>negative</w:t>
      </w:r>
      <w:r w:rsidR="00857F05">
        <w:t xml:space="preserve"> psychological and</w:t>
      </w:r>
      <w:r w:rsidR="00D62909" w:rsidRPr="00BD68B7">
        <w:t xml:space="preserve"> </w:t>
      </w:r>
      <w:r w:rsidR="009661F3" w:rsidRPr="00BD68B7">
        <w:t>financial consequences for the victims.</w:t>
      </w:r>
      <w:r w:rsidR="00857F05">
        <w:t xml:space="preserve"> </w:t>
      </w:r>
      <w:r w:rsidR="00D62909" w:rsidRPr="00BD68B7">
        <w:t>T</w:t>
      </w:r>
      <w:r w:rsidR="009661F3" w:rsidRPr="00BD68B7">
        <w:t>he Ombudsman</w:t>
      </w:r>
      <w:r w:rsidR="00D62909" w:rsidRPr="00BD68B7">
        <w:t xml:space="preserve"> calls for more effective </w:t>
      </w:r>
      <w:r w:rsidR="009661F3" w:rsidRPr="00BD68B7">
        <w:t>measures</w:t>
      </w:r>
      <w:r w:rsidR="00D62909" w:rsidRPr="00BD68B7">
        <w:t xml:space="preserve"> to protect both women and children</w:t>
      </w:r>
      <w:r w:rsidR="00857F05">
        <w:t xml:space="preserve"> in these situations</w:t>
      </w:r>
      <w:r w:rsidR="009661F3" w:rsidRPr="00BD68B7">
        <w:t>. The risk assessment of both</w:t>
      </w:r>
      <w:r w:rsidR="00D62909" w:rsidRPr="00BD68B7">
        <w:t xml:space="preserve">, </w:t>
      </w:r>
      <w:r w:rsidR="009661F3" w:rsidRPr="00BD68B7">
        <w:t>wom</w:t>
      </w:r>
      <w:r w:rsidR="00857F05">
        <w:t>e</w:t>
      </w:r>
      <w:r w:rsidR="009661F3" w:rsidRPr="00BD68B7">
        <w:t xml:space="preserve">n and </w:t>
      </w:r>
      <w:r w:rsidR="00D62909" w:rsidRPr="00BD68B7">
        <w:t>child</w:t>
      </w:r>
      <w:r w:rsidR="00857F05">
        <w:t>ren</w:t>
      </w:r>
      <w:r w:rsidR="00D62909" w:rsidRPr="00BD68B7">
        <w:t xml:space="preserve"> </w:t>
      </w:r>
      <w:r w:rsidR="009661F3" w:rsidRPr="00BD68B7">
        <w:t xml:space="preserve">must be done </w:t>
      </w:r>
      <w:r w:rsidR="00857F05">
        <w:t>thoroughly</w:t>
      </w:r>
      <w:r w:rsidR="009661F3" w:rsidRPr="00BD68B7">
        <w:t>.</w:t>
      </w:r>
    </w:p>
    <w:p w14:paraId="4F1CE3FA" w14:textId="3B2A49BC" w:rsidR="009661F3" w:rsidRPr="00BD68B7" w:rsidRDefault="00857F05" w:rsidP="0026367F">
      <w:pPr>
        <w:pStyle w:val="Leipteksti2kappalenumeroilla"/>
      </w:pPr>
      <w:r>
        <w:t xml:space="preserve">Legal consideration of </w:t>
      </w:r>
      <w:r w:rsidR="009661F3" w:rsidRPr="00BD68B7">
        <w:t xml:space="preserve">family law issues should be </w:t>
      </w:r>
      <w:r>
        <w:t xml:space="preserve">assessed and </w:t>
      </w:r>
      <w:r w:rsidR="009661F3" w:rsidRPr="00BD68B7">
        <w:t xml:space="preserve">developed </w:t>
      </w:r>
      <w:r w:rsidR="00420AF7">
        <w:t xml:space="preserve">with </w:t>
      </w:r>
      <w:r>
        <w:t xml:space="preserve">an approach </w:t>
      </w:r>
      <w:proofErr w:type="gramStart"/>
      <w:r>
        <w:t>taking into account</w:t>
      </w:r>
      <w:proofErr w:type="gramEnd"/>
      <w:r>
        <w:t xml:space="preserve"> </w:t>
      </w:r>
      <w:r w:rsidR="009661F3" w:rsidRPr="00BD68B7">
        <w:t>violence</w:t>
      </w:r>
      <w:r>
        <w:t xml:space="preserve"> </w:t>
      </w:r>
      <w:r w:rsidR="00D30443">
        <w:t xml:space="preserve">against women </w:t>
      </w:r>
      <w:r>
        <w:t xml:space="preserve">in its </w:t>
      </w:r>
      <w:r w:rsidR="00552373">
        <w:t xml:space="preserve">many </w:t>
      </w:r>
      <w:r>
        <w:t>forms</w:t>
      </w:r>
      <w:r w:rsidR="009661F3" w:rsidRPr="00BD68B7">
        <w:t xml:space="preserve">. The </w:t>
      </w:r>
      <w:r w:rsidR="00552373">
        <w:t xml:space="preserve">clarification of circumstances and the overall </w:t>
      </w:r>
      <w:r w:rsidR="009661F3" w:rsidRPr="00BD68B7">
        <w:t xml:space="preserve">procedure </w:t>
      </w:r>
      <w:r w:rsidR="00552373">
        <w:t xml:space="preserve">considering </w:t>
      </w:r>
      <w:r w:rsidR="009661F3" w:rsidRPr="00BD68B7">
        <w:t>visitation</w:t>
      </w:r>
      <w:r w:rsidR="00D30443">
        <w:t xml:space="preserve"> rights</w:t>
      </w:r>
      <w:r w:rsidR="009661F3" w:rsidRPr="00BD68B7">
        <w:t xml:space="preserve">, </w:t>
      </w:r>
      <w:r w:rsidR="00D30443">
        <w:t>housing</w:t>
      </w:r>
      <w:r w:rsidR="009661F3" w:rsidRPr="00BD68B7">
        <w:t xml:space="preserve"> and maintenance of the child could be </w:t>
      </w:r>
      <w:r w:rsidR="00552373">
        <w:t>built up</w:t>
      </w:r>
      <w:r w:rsidR="009661F3" w:rsidRPr="00BD68B7">
        <w:t xml:space="preserve"> </w:t>
      </w:r>
      <w:r w:rsidR="00420AF7">
        <w:t xml:space="preserve">with the </w:t>
      </w:r>
      <w:r w:rsidR="009661F3" w:rsidRPr="00BD68B7">
        <w:t xml:space="preserve">support from a multi-professional and multi-disciplinary group of experts. </w:t>
      </w:r>
      <w:r w:rsidR="00552373">
        <w:t xml:space="preserve">Strengthening the expertise in decision-making with </w:t>
      </w:r>
      <w:r w:rsidR="00420AF7">
        <w:t xml:space="preserve">this </w:t>
      </w:r>
      <w:r w:rsidR="00552373">
        <w:t xml:space="preserve">respect </w:t>
      </w:r>
      <w:r w:rsidR="009661F3" w:rsidRPr="00BD68B7">
        <w:t xml:space="preserve">could </w:t>
      </w:r>
      <w:r w:rsidR="00552373">
        <w:t xml:space="preserve">be incorporated in national </w:t>
      </w:r>
      <w:hyperlink r:id="rId19" w:history="1">
        <w:r w:rsidR="009661F3" w:rsidRPr="00420AF7">
          <w:rPr>
            <w:rStyle w:val="Hyperlinkki"/>
          </w:rPr>
          <w:t>Child Strategy</w:t>
        </w:r>
      </w:hyperlink>
      <w:r w:rsidR="009661F3" w:rsidRPr="00BD68B7">
        <w:t xml:space="preserve">. Legal protection against </w:t>
      </w:r>
      <w:r w:rsidR="00420AF7">
        <w:t>economic</w:t>
      </w:r>
      <w:r w:rsidR="009661F3" w:rsidRPr="00BD68B7">
        <w:t xml:space="preserve"> violence is currently weak, </w:t>
      </w:r>
      <w:r w:rsidR="00420AF7">
        <w:t>and</w:t>
      </w:r>
      <w:r w:rsidR="009661F3" w:rsidRPr="00BD68B7">
        <w:t xml:space="preserve"> </w:t>
      </w:r>
      <w:r w:rsidR="00420AF7">
        <w:t xml:space="preserve">promotion to </w:t>
      </w:r>
      <w:r w:rsidR="009661F3" w:rsidRPr="00BD68B7">
        <w:t xml:space="preserve">better </w:t>
      </w:r>
      <w:r w:rsidR="00420AF7">
        <w:t>identify</w:t>
      </w:r>
      <w:r w:rsidR="009661F3" w:rsidRPr="00BD68B7">
        <w:t xml:space="preserve"> the phenomenon as a form of intimate partner violence would pro</w:t>
      </w:r>
      <w:r w:rsidR="00420AF7">
        <w:t xml:space="preserve">tect the rights of </w:t>
      </w:r>
      <w:r w:rsidR="009661F3" w:rsidRPr="00BD68B7">
        <w:t xml:space="preserve">those who experience </w:t>
      </w:r>
      <w:r w:rsidR="00420AF7">
        <w:t>economic</w:t>
      </w:r>
      <w:r w:rsidR="009661F3" w:rsidRPr="00BD68B7">
        <w:t xml:space="preserve"> violence.</w:t>
      </w:r>
    </w:p>
    <w:p w14:paraId="71A040BC" w14:textId="656CEC26" w:rsidR="00D62909" w:rsidRPr="00BD68B7" w:rsidRDefault="00D62909" w:rsidP="0026367F">
      <w:pPr>
        <w:pStyle w:val="Leipteksti2kappalenumeroilla"/>
      </w:pPr>
      <w:r w:rsidRPr="00BD68B7">
        <w:t xml:space="preserve">Also, </w:t>
      </w:r>
      <w:r w:rsidR="004331A2">
        <w:t xml:space="preserve">according to the professionals working with women during their divorce process, note that the woman </w:t>
      </w:r>
      <w:r w:rsidR="00F26435">
        <w:t>is often</w:t>
      </w:r>
      <w:r w:rsidR="004331A2">
        <w:t xml:space="preserve"> left alone to cope with violence and the acts of </w:t>
      </w:r>
      <w:r w:rsidRPr="00BD68B7">
        <w:t xml:space="preserve">violence and </w:t>
      </w:r>
      <w:r w:rsidR="004331A2">
        <w:t>harassment</w:t>
      </w:r>
      <w:r w:rsidRPr="00BD68B7">
        <w:t xml:space="preserve"> </w:t>
      </w:r>
      <w:r w:rsidR="004331A2">
        <w:t xml:space="preserve">by the former partner is not considered harmful </w:t>
      </w:r>
      <w:r w:rsidR="004331A2">
        <w:t>for the child</w:t>
      </w:r>
      <w:r w:rsidR="004331A2">
        <w:t>.</w:t>
      </w:r>
      <w:r w:rsidR="004331A2">
        <w:t xml:space="preserve"> </w:t>
      </w:r>
      <w:r w:rsidR="004331A2">
        <w:t xml:space="preserve">Such harmful activities should </w:t>
      </w:r>
      <w:r w:rsidRPr="00BD68B7">
        <w:t>be</w:t>
      </w:r>
      <w:r w:rsidR="004331A2">
        <w:t>, nonetheless,</w:t>
      </w:r>
      <w:r w:rsidRPr="00BD68B7">
        <w:t xml:space="preserve"> </w:t>
      </w:r>
      <w:r w:rsidR="004331A2">
        <w:t xml:space="preserve">considered significant </w:t>
      </w:r>
      <w:r w:rsidR="00D30443">
        <w:t xml:space="preserve">and identified as violence </w:t>
      </w:r>
      <w:r w:rsidRPr="00BD68B7">
        <w:t>in decision-making</w:t>
      </w:r>
      <w:r w:rsidR="004331A2">
        <w:t xml:space="preserve"> regarding the child’s custody, housing</w:t>
      </w:r>
      <w:r w:rsidR="00C6040C">
        <w:t>,</w:t>
      </w:r>
      <w:r w:rsidR="004331A2">
        <w:t xml:space="preserve"> and visitation rights</w:t>
      </w:r>
      <w:r w:rsidRPr="00BD68B7">
        <w:t>.</w:t>
      </w:r>
    </w:p>
    <w:p w14:paraId="4EA845C1" w14:textId="781BBD95" w:rsidR="004D1313" w:rsidRPr="00BD68B7" w:rsidRDefault="004D1313" w:rsidP="00EE3E96">
      <w:pPr>
        <w:pStyle w:val="Otsikko2"/>
      </w:pPr>
      <w:bookmarkStart w:id="16" w:name="_Toc154142289"/>
      <w:r w:rsidRPr="00BD68B7">
        <w:t>Article 48: Prohibition of mandatory alter</w:t>
      </w:r>
      <w:r w:rsidR="005E0899">
        <w:t>n</w:t>
      </w:r>
      <w:r w:rsidRPr="00BD68B7">
        <w:t xml:space="preserve">ative dispute resolution processes or </w:t>
      </w:r>
      <w:proofErr w:type="gramStart"/>
      <w:r w:rsidRPr="00BD68B7">
        <w:t>sentencing</w:t>
      </w:r>
      <w:bookmarkEnd w:id="16"/>
      <w:proofErr w:type="gramEnd"/>
      <w:r w:rsidRPr="00BD68B7">
        <w:t xml:space="preserve"> </w:t>
      </w:r>
    </w:p>
    <w:p w14:paraId="3D7B0F83" w14:textId="567467FC" w:rsidR="004D1313" w:rsidRPr="00BD68B7" w:rsidRDefault="00484456" w:rsidP="00484456">
      <w:pPr>
        <w:pStyle w:val="Default"/>
        <w:rPr>
          <w:b/>
          <w:bCs/>
          <w:color w:val="auto"/>
          <w:lang w:val="en-GB"/>
        </w:rPr>
      </w:pPr>
      <w:r w:rsidRPr="00BD68B7">
        <w:rPr>
          <w:b/>
          <w:bCs/>
          <w:color w:val="auto"/>
          <w:lang w:val="en-GB"/>
        </w:rPr>
        <w:t>Criminal law:</w:t>
      </w:r>
    </w:p>
    <w:p w14:paraId="32A95925" w14:textId="0D4AD755" w:rsidR="006305A1" w:rsidRDefault="00673CAE" w:rsidP="008D4463">
      <w:pPr>
        <w:pStyle w:val="Leipteksti2kappalenumeroilla"/>
      </w:pPr>
      <w:r>
        <w:t xml:space="preserve">The Government has indicated </w:t>
      </w:r>
      <w:r w:rsidR="0098301F">
        <w:t xml:space="preserve">a </w:t>
      </w:r>
      <w:r>
        <w:t xml:space="preserve">strong willingness to </w:t>
      </w:r>
      <w:r w:rsidR="005F114D">
        <w:t>waive</w:t>
      </w:r>
      <w:r>
        <w:t xml:space="preserve"> the refer</w:t>
      </w:r>
      <w:r w:rsidR="005F114D">
        <w:t>ral of</w:t>
      </w:r>
      <w:r>
        <w:t xml:space="preserve"> cases of close relationship </w:t>
      </w:r>
      <w:r w:rsidR="0098301F">
        <w:t xml:space="preserve">violence </w:t>
      </w:r>
      <w:r>
        <w:t xml:space="preserve">to mediation. </w:t>
      </w:r>
      <w:r w:rsidRPr="00673CAE">
        <w:t xml:space="preserve">First, the Government Programme states that domestic and close relationship </w:t>
      </w:r>
      <w:r>
        <w:t>violence will be excluded</w:t>
      </w:r>
      <w:r w:rsidR="006305A1">
        <w:t xml:space="preserve">, as a rule, </w:t>
      </w:r>
      <w:r>
        <w:t>from the mediation.</w:t>
      </w:r>
      <w:r w:rsidR="006305A1">
        <w:t xml:space="preserve"> </w:t>
      </w:r>
      <w:r w:rsidR="006305A1" w:rsidRPr="006305A1">
        <w:t xml:space="preserve">Later </w:t>
      </w:r>
      <w:r w:rsidR="00535968">
        <w:t xml:space="preserve">this </w:t>
      </w:r>
      <w:r w:rsidR="006305A1" w:rsidRPr="006305A1">
        <w:t xml:space="preserve">fall, Minister of Social Security, under whose responsibility </w:t>
      </w:r>
      <w:r w:rsidR="006305A1">
        <w:t xml:space="preserve">fall the </w:t>
      </w:r>
      <w:r w:rsidR="006305A1" w:rsidRPr="00BD68B7">
        <w:t>Act on Mediation in Civil Matters and Confirmation of Settlements in General Courts</w:t>
      </w:r>
      <w:r w:rsidR="00535968">
        <w:t>,</w:t>
      </w:r>
      <w:r w:rsidR="006305A1" w:rsidRPr="00BD68B7">
        <w:t xml:space="preserve"> </w:t>
      </w:r>
      <w:r w:rsidR="006305A1">
        <w:t>has confirmed that her intention is to</w:t>
      </w:r>
      <w:r w:rsidR="005F114D">
        <w:t xml:space="preserve"> exclude all cases of close relationship violence. The Governmental Proposal for the legal amendment is intended to be submitted to </w:t>
      </w:r>
      <w:r w:rsidR="00535968">
        <w:t xml:space="preserve">the </w:t>
      </w:r>
      <w:r w:rsidR="005F114D">
        <w:t>Parliament during its spring term of 2024.</w:t>
      </w:r>
    </w:p>
    <w:p w14:paraId="62610A68" w14:textId="7980C133" w:rsidR="005F114D" w:rsidRPr="006305A1" w:rsidRDefault="005F114D" w:rsidP="00642577">
      <w:pPr>
        <w:pStyle w:val="Leipteksti2kappalenumeroilla"/>
      </w:pPr>
      <w:r>
        <w:t>T</w:t>
      </w:r>
      <w:r w:rsidRPr="00BD68B7">
        <w:t xml:space="preserve">he Non-discrimination Ombudsman </w:t>
      </w:r>
      <w:r>
        <w:t xml:space="preserve">supports strongly, jointly with the </w:t>
      </w:r>
      <w:r w:rsidRPr="00BD68B7">
        <w:t>Ombudsman for Equality</w:t>
      </w:r>
      <w:r>
        <w:t>,</w:t>
      </w:r>
      <w:r w:rsidRPr="00BD68B7">
        <w:t xml:space="preserve"> </w:t>
      </w:r>
      <w:r>
        <w:t xml:space="preserve">the exclusion of close relationship violence from the mediation. It would be </w:t>
      </w:r>
      <w:r w:rsidRPr="00BD68B7">
        <w:t>a</w:t>
      </w:r>
      <w:r w:rsidR="005C66C6">
        <w:t xml:space="preserve"> substantial </w:t>
      </w:r>
      <w:r w:rsidRPr="00BD68B7">
        <w:t xml:space="preserve">step </w:t>
      </w:r>
      <w:r w:rsidR="005C66C6">
        <w:t xml:space="preserve">for Finland </w:t>
      </w:r>
      <w:r>
        <w:t>to show political willingness to take violence against women seriously</w:t>
      </w:r>
      <w:r w:rsidR="005C66C6">
        <w:t>, as</w:t>
      </w:r>
      <w:r>
        <w:t xml:space="preserve"> mediation </w:t>
      </w:r>
      <w:r w:rsidR="00535968">
        <w:t xml:space="preserve">is deemed </w:t>
      </w:r>
      <w:r w:rsidR="00E2174E">
        <w:t xml:space="preserve">a </w:t>
      </w:r>
      <w:r w:rsidR="00535968">
        <w:t xml:space="preserve">typical way to consider </w:t>
      </w:r>
      <w:r>
        <w:t xml:space="preserve">of cases of violence </w:t>
      </w:r>
      <w:r w:rsidR="00535968">
        <w:t xml:space="preserve">against women, that is, not in the formal criminal legal proceedings but in an informal </w:t>
      </w:r>
      <w:proofErr w:type="gramStart"/>
      <w:r w:rsidR="00535968">
        <w:t xml:space="preserve">manner </w:t>
      </w:r>
      <w:r w:rsidR="00E2174E">
        <w:t>in which</w:t>
      </w:r>
      <w:proofErr w:type="gramEnd"/>
      <w:r w:rsidR="00E2174E">
        <w:t xml:space="preserve"> the </w:t>
      </w:r>
      <w:r w:rsidR="00535968">
        <w:t>perpetrator is not held accountable for his acts of violence.</w:t>
      </w:r>
      <w:r w:rsidR="00642577" w:rsidRPr="00642577">
        <w:rPr>
          <w:lang w:val="en"/>
        </w:rPr>
        <w:t xml:space="preserve"> </w:t>
      </w:r>
      <w:r w:rsidR="00642577" w:rsidRPr="00D169E4">
        <w:rPr>
          <w:lang w:val="en"/>
        </w:rPr>
        <w:t xml:space="preserve">A typical mediation agreement </w:t>
      </w:r>
      <w:r w:rsidR="00642577">
        <w:rPr>
          <w:lang w:val="en"/>
        </w:rPr>
        <w:t>consists of</w:t>
      </w:r>
      <w:r w:rsidR="00642577" w:rsidRPr="00D169E4">
        <w:rPr>
          <w:lang w:val="en"/>
        </w:rPr>
        <w:t xml:space="preserve"> </w:t>
      </w:r>
      <w:r w:rsidR="00642577">
        <w:rPr>
          <w:lang w:val="en"/>
        </w:rPr>
        <w:t xml:space="preserve">an </w:t>
      </w:r>
      <w:r w:rsidR="00642577" w:rsidRPr="00D169E4">
        <w:rPr>
          <w:lang w:val="en"/>
        </w:rPr>
        <w:t xml:space="preserve">apology or a promise not to use violence in the future. If this is seen as an alternative, instead of the criminal process, typically in dealing with violence against women, </w:t>
      </w:r>
      <w:r w:rsidR="00642577">
        <w:rPr>
          <w:lang w:val="en"/>
        </w:rPr>
        <w:t xml:space="preserve">Finland </w:t>
      </w:r>
      <w:r w:rsidR="00642577" w:rsidRPr="00D169E4">
        <w:rPr>
          <w:lang w:val="en"/>
        </w:rPr>
        <w:t>continue</w:t>
      </w:r>
      <w:r w:rsidR="00642577">
        <w:rPr>
          <w:lang w:val="en"/>
        </w:rPr>
        <w:t>s</w:t>
      </w:r>
      <w:r w:rsidR="00642577" w:rsidRPr="00D169E4">
        <w:rPr>
          <w:lang w:val="en"/>
        </w:rPr>
        <w:t xml:space="preserve"> to belittle women's right to personal safety.</w:t>
      </w:r>
      <w:r w:rsidR="00535968">
        <w:t xml:space="preserve"> </w:t>
      </w:r>
      <w:r w:rsidR="00642577">
        <w:t>In fact</w:t>
      </w:r>
      <w:r w:rsidR="00535968">
        <w:t xml:space="preserve">, </w:t>
      </w:r>
      <w:r w:rsidR="00642577">
        <w:t xml:space="preserve">as a vast number of violence crime cases referred to </w:t>
      </w:r>
      <w:r w:rsidR="00535968">
        <w:t xml:space="preserve">mediation </w:t>
      </w:r>
      <w:r w:rsidR="00642577">
        <w:t xml:space="preserve">are cases of intimate partner violence against women, mediation is </w:t>
      </w:r>
      <w:r w:rsidR="00535968">
        <w:t xml:space="preserve">considered </w:t>
      </w:r>
      <w:r w:rsidR="00FF6F29">
        <w:t xml:space="preserve">by women’s rights advocates a </w:t>
      </w:r>
      <w:r w:rsidR="00535968">
        <w:t>represent</w:t>
      </w:r>
      <w:r w:rsidR="00FF6F29">
        <w:t xml:space="preserve">ation of </w:t>
      </w:r>
      <w:r w:rsidR="00535968">
        <w:t xml:space="preserve">the </w:t>
      </w:r>
      <w:r w:rsidR="00FF6F29">
        <w:t xml:space="preserve">dismissive attitude </w:t>
      </w:r>
      <w:r w:rsidR="00A47706">
        <w:t xml:space="preserve">by public official </w:t>
      </w:r>
      <w:r w:rsidR="00FF6F29">
        <w:t>towards violence against women</w:t>
      </w:r>
      <w:r w:rsidR="00642577">
        <w:t>.</w:t>
      </w:r>
    </w:p>
    <w:p w14:paraId="1EF56F6A" w14:textId="17137E96" w:rsidR="00E2174E" w:rsidRDefault="00E2174E" w:rsidP="00CF4DC3">
      <w:pPr>
        <w:pStyle w:val="Leipteksti2kappalenumeroilla"/>
      </w:pPr>
      <w:r>
        <w:t>M</w:t>
      </w:r>
      <w:r w:rsidRPr="0098301F">
        <w:t>ediation of crim</w:t>
      </w:r>
      <w:r>
        <w:t>inal offences</w:t>
      </w:r>
      <w:r>
        <w:t xml:space="preserve"> and the idea of restorative justice supporting it</w:t>
      </w:r>
      <w:r w:rsidR="00CF4DC3">
        <w:t>,</w:t>
      </w:r>
      <w:r>
        <w:t xml:space="preserve"> </w:t>
      </w:r>
      <w:r w:rsidR="00CF4DC3">
        <w:t>are</w:t>
      </w:r>
      <w:r>
        <w:t xml:space="preserve"> </w:t>
      </w:r>
      <w:r w:rsidR="00CF4DC3">
        <w:t xml:space="preserve">premised </w:t>
      </w:r>
      <w:r>
        <w:t>on the</w:t>
      </w:r>
      <w:r w:rsidR="00CF4DC3">
        <w:t xml:space="preserve"> idea</w:t>
      </w:r>
      <w:r>
        <w:t xml:space="preserve"> of</w:t>
      </w:r>
      <w:r w:rsidRPr="0098301F">
        <w:t xml:space="preserve"> </w:t>
      </w:r>
      <w:r w:rsidR="00CF4DC3">
        <w:t>compensating a single and/or minor act of violence between two equals. As for intimate partner violence, the dynamics are typically very different from this premise. T</w:t>
      </w:r>
      <w:r w:rsidR="0098301F" w:rsidRPr="0098301F">
        <w:t xml:space="preserve">he </w:t>
      </w:r>
      <w:r>
        <w:t xml:space="preserve">victim is often oppressed by the </w:t>
      </w:r>
      <w:r w:rsidR="0098301F" w:rsidRPr="0098301F">
        <w:t>perpetrator</w:t>
      </w:r>
      <w:r w:rsidR="00CF4DC3">
        <w:t>,</w:t>
      </w:r>
      <w:r w:rsidR="0098301F" w:rsidRPr="0098301F">
        <w:t xml:space="preserve"> </w:t>
      </w:r>
      <w:r>
        <w:t>and the victim is rarely able to give a real and informed consent to mediation</w:t>
      </w:r>
      <w:r w:rsidR="0098301F" w:rsidRPr="0098301F">
        <w:t>.</w:t>
      </w:r>
      <w:r w:rsidR="00CF4DC3">
        <w:t xml:space="preserve"> I</w:t>
      </w:r>
      <w:r w:rsidR="00CF4DC3" w:rsidRPr="00D169E4">
        <w:t xml:space="preserve">ntimate partner violence </w:t>
      </w:r>
      <w:r w:rsidR="00CF4DC3">
        <w:t>is often</w:t>
      </w:r>
      <w:r w:rsidR="00CF4DC3" w:rsidRPr="00D169E4">
        <w:t xml:space="preserve"> repeated violence</w:t>
      </w:r>
      <w:r w:rsidR="00CF4DC3">
        <w:t xml:space="preserve"> but public authorities recommending a particular case to mediation do not identify all acts as violence</w:t>
      </w:r>
      <w:r w:rsidR="00CF4DC3" w:rsidRPr="00D169E4">
        <w:t xml:space="preserve">. It is </w:t>
      </w:r>
      <w:r w:rsidR="00CF4DC3">
        <w:t xml:space="preserve">also </w:t>
      </w:r>
      <w:r w:rsidR="00CF4DC3" w:rsidRPr="00D169E4">
        <w:t xml:space="preserve">problematic if the victim agrees to mediation </w:t>
      </w:r>
      <w:r w:rsidR="00420BB2">
        <w:t>due to</w:t>
      </w:r>
      <w:r w:rsidR="00420BB2" w:rsidRPr="00D169E4">
        <w:t xml:space="preserve"> fear or pressure from the perpetrator</w:t>
      </w:r>
      <w:r w:rsidR="00420BB2">
        <w:t>, or</w:t>
      </w:r>
      <w:r w:rsidR="00420BB2" w:rsidRPr="00D169E4">
        <w:t xml:space="preserve"> </w:t>
      </w:r>
      <w:r w:rsidR="00CF4DC3" w:rsidRPr="00D169E4">
        <w:t xml:space="preserve">because the criminal </w:t>
      </w:r>
      <w:r w:rsidR="00CF4DC3">
        <w:t>legal proceedings</w:t>
      </w:r>
      <w:r w:rsidR="00CF4DC3" w:rsidRPr="00D169E4">
        <w:t xml:space="preserve"> seem exhaustingly long</w:t>
      </w:r>
      <w:r w:rsidR="00CF4DC3">
        <w:t>.</w:t>
      </w:r>
    </w:p>
    <w:p w14:paraId="47D9A321" w14:textId="0B843593" w:rsidR="00CC5857" w:rsidRPr="00BD68B7" w:rsidRDefault="00CC5857" w:rsidP="00CC5857">
      <w:pPr>
        <w:pStyle w:val="Otsikko2"/>
      </w:pPr>
      <w:bookmarkStart w:id="17" w:name="_Toc154142290"/>
      <w:r w:rsidRPr="00BD68B7">
        <w:t>Articles 49 and 50: General obligations and immediate response, prevention</w:t>
      </w:r>
      <w:r w:rsidR="005A6B42">
        <w:t>,</w:t>
      </w:r>
      <w:r w:rsidRPr="00BD68B7">
        <w:t xml:space="preserve"> and protection</w:t>
      </w:r>
      <w:bookmarkEnd w:id="17"/>
      <w:r w:rsidRPr="00BD68B7">
        <w:t xml:space="preserve"> </w:t>
      </w:r>
    </w:p>
    <w:p w14:paraId="0A9CA5D8" w14:textId="6DEDC1DA" w:rsidR="0059320F" w:rsidRPr="00BD68B7" w:rsidRDefault="0059320F" w:rsidP="0026367F">
      <w:pPr>
        <w:pStyle w:val="Leipteksti2kappalenumeroilla"/>
      </w:pPr>
      <w:r w:rsidRPr="00BD68B7">
        <w:t xml:space="preserve">It is difficult to assess how law enforcement agencies respond and investigate cases of violence against women due to the lack of information. </w:t>
      </w:r>
      <w:r w:rsidR="001F41D9" w:rsidRPr="00BD68B7">
        <w:t>Notwithstanding</w:t>
      </w:r>
      <w:r w:rsidRPr="00BD68B7">
        <w:t xml:space="preserve">, the Deputy Chancellor of Justice conducted a scrutiny </w:t>
      </w:r>
      <w:r w:rsidR="001F41D9" w:rsidRPr="00BD68B7">
        <w:t xml:space="preserve">in 2022 </w:t>
      </w:r>
      <w:r w:rsidRPr="00BD68B7">
        <w:t xml:space="preserve">on police procedures in </w:t>
      </w:r>
      <w:r w:rsidR="001F41D9" w:rsidRPr="00BD68B7">
        <w:t xml:space="preserve">close relationship </w:t>
      </w:r>
      <w:r w:rsidRPr="00BD68B7">
        <w:t>violence and sexual crime investigations</w:t>
      </w:r>
      <w:r w:rsidR="001F41D9" w:rsidRPr="00BD68B7">
        <w:t>, some cases involving child victims,</w:t>
      </w:r>
      <w:r w:rsidRPr="00BD68B7">
        <w:t xml:space="preserve"> indicating that preliminary investigation</w:t>
      </w:r>
      <w:r w:rsidR="00E75465" w:rsidRPr="00BD68B7">
        <w:t xml:space="preserve">s are not always executed duly in </w:t>
      </w:r>
      <w:r w:rsidR="001F41D9" w:rsidRPr="00BD68B7">
        <w:t xml:space="preserve">a </w:t>
      </w:r>
      <w:r w:rsidR="00E75465" w:rsidRPr="00BD68B7">
        <w:t>professional manner and without unnecessary delay. In general, prolongation of preliminary investigation</w:t>
      </w:r>
      <w:r w:rsidR="00C55B43">
        <w:t>s</w:t>
      </w:r>
      <w:r w:rsidR="00E75465" w:rsidRPr="00BD68B7">
        <w:t xml:space="preserve"> </w:t>
      </w:r>
      <w:r w:rsidR="001F41D9" w:rsidRPr="00BD68B7">
        <w:t>is</w:t>
      </w:r>
      <w:r w:rsidR="00E75465" w:rsidRPr="00BD68B7">
        <w:t xml:space="preserve"> detrimental to the </w:t>
      </w:r>
      <w:r w:rsidRPr="00BD68B7">
        <w:t>credibility of the criminal justice system</w:t>
      </w:r>
      <w:r w:rsidR="00E75465" w:rsidRPr="00BD68B7">
        <w:t>,</w:t>
      </w:r>
      <w:r w:rsidRPr="00BD68B7">
        <w:t xml:space="preserve"> </w:t>
      </w:r>
      <w:r w:rsidR="00E75465" w:rsidRPr="00BD68B7">
        <w:t xml:space="preserve">and </w:t>
      </w:r>
      <w:r w:rsidRPr="00BD68B7">
        <w:t xml:space="preserve">to the </w:t>
      </w:r>
      <w:r w:rsidR="00E75465" w:rsidRPr="00BD68B7">
        <w:t>fulf</w:t>
      </w:r>
      <w:r w:rsidR="005A6B42">
        <w:t>i</w:t>
      </w:r>
      <w:r w:rsidR="00E75465" w:rsidRPr="00BD68B7">
        <w:t xml:space="preserve">lment of </w:t>
      </w:r>
      <w:r w:rsidRPr="00BD68B7">
        <w:t>the rights of the victim</w:t>
      </w:r>
      <w:r w:rsidR="001F41D9" w:rsidRPr="00BD68B7">
        <w:t>s.</w:t>
      </w:r>
    </w:p>
    <w:p w14:paraId="63348080" w14:textId="0DB76FBF" w:rsidR="0017560E" w:rsidRPr="00BD68B7" w:rsidRDefault="001F41D9" w:rsidP="0026367F">
      <w:pPr>
        <w:pStyle w:val="Leipteksti2kappalenumeroilla"/>
      </w:pPr>
      <w:r w:rsidRPr="00BD68B7">
        <w:t>With reference to migrant women</w:t>
      </w:r>
      <w:r w:rsidR="00E43264" w:rsidRPr="00BD68B7">
        <w:t>,</w:t>
      </w:r>
      <w:r w:rsidRPr="00BD68B7">
        <w:t xml:space="preserve"> their </w:t>
      </w:r>
      <w:r w:rsidR="00E43264" w:rsidRPr="00BD68B7">
        <w:t>residence permits</w:t>
      </w:r>
      <w:r w:rsidRPr="00BD68B7">
        <w:t xml:space="preserve">, </w:t>
      </w:r>
      <w:r w:rsidR="00E43264" w:rsidRPr="00BD68B7">
        <w:t xml:space="preserve">and the reference </w:t>
      </w:r>
      <w:r w:rsidR="0017560E" w:rsidRPr="00BD68B7">
        <w:t>to Section 54, Subsection 7 of the Alien’s Act</w:t>
      </w:r>
      <w:r w:rsidR="00E43264" w:rsidRPr="00BD68B7">
        <w:t xml:space="preserve"> in the Government’s report</w:t>
      </w:r>
      <w:r w:rsidR="0017560E" w:rsidRPr="00BD68B7">
        <w:t xml:space="preserve">, </w:t>
      </w:r>
      <w:r w:rsidR="00E43264" w:rsidRPr="00BD68B7">
        <w:t xml:space="preserve">the Ombudsman wants to point out that the preconditions for an extension of the residence permit laid down in said Section seem to be quite high in practice and the issuance of the permit is unpredictable. This renders difficult to </w:t>
      </w:r>
      <w:r w:rsidR="00E43264" w:rsidRPr="00BD68B7">
        <w:lastRenderedPageBreak/>
        <w:t>disclose violence and end an abusive relationship. Apparently, women whose family ties have terminated are not asked about the possible violence, and National Migration Authority (Migri) does not, in general, provide an oral hearing for women when considering extension of their residency. In the Ombudsman’s view, Migri plays a key role to ensure the applicability of the said provision in practise. When considering the extension of their residence permit, women should be asked ex officio about the violence, and the national authorities should not rely solely on a documentary material on violence. Overall, the preconditions for the extension of the permit should be reviewed.</w:t>
      </w:r>
    </w:p>
    <w:p w14:paraId="61CF658B" w14:textId="623DE8A4" w:rsidR="0017560E" w:rsidRDefault="0017560E" w:rsidP="0026367F">
      <w:pPr>
        <w:pStyle w:val="Leipteksti2kappalenumeroilla"/>
      </w:pPr>
      <w:r w:rsidRPr="00BD68B7">
        <w:t xml:space="preserve">The Ombudsman notes furthermore that women who have been issued their first residence permit </w:t>
      </w:r>
      <w:r w:rsidR="005E0899" w:rsidRPr="00BD68B7">
        <w:t>based on</w:t>
      </w:r>
      <w:r w:rsidRPr="00BD68B7">
        <w:t xml:space="preserve"> family ties, have not, to a large extent, entered the country as asylum seekers through reception centres. Information on the possibility to apply for an independent residence permit could be provided when women are notified on the permit based on family ties. This could be also a substantial part of integration services of immigrants. Information should be provided both orally and in writing in the native language of the permit-holder. Also, the personnel of the reception centres and the social and health care services must be aware of the provision and know where to turn to for legal consultancy. The National Migration Authority should update their website accordingly.</w:t>
      </w:r>
    </w:p>
    <w:p w14:paraId="7C12B8B6" w14:textId="1D714490" w:rsidR="00AF78F7" w:rsidRPr="00BD68B7" w:rsidRDefault="00AF78F7" w:rsidP="0026367F">
      <w:pPr>
        <w:pStyle w:val="Leipteksti2kappalenumeroilla"/>
      </w:pPr>
      <w:r>
        <w:t>Furthermore, t</w:t>
      </w:r>
      <w:r w:rsidRPr="00AF78F7">
        <w:t xml:space="preserve">he Non-Discrimination Ombudsman </w:t>
      </w:r>
      <w:r>
        <w:t xml:space="preserve">as the National Rapporteur on Human Trafficking, </w:t>
      </w:r>
      <w:r w:rsidRPr="00AF78F7">
        <w:t xml:space="preserve">investigated the residence permit practice relating to victims of human trafficking. According to the study, published in 2021, the assessment was diverse, but varying. Human trafficking was not necessarily the main reason for granting international protection or a residence permit in positive decisions. </w:t>
      </w:r>
      <w:r>
        <w:t>Often</w:t>
      </w:r>
      <w:r w:rsidRPr="00AF78F7">
        <w:t>, the victim of human trafficking had been subjected to forced labour, sexual abuse or forced marriage. Approximately 67</w:t>
      </w:r>
      <w:r>
        <w:t xml:space="preserve"> percent </w:t>
      </w:r>
      <w:r w:rsidRPr="00AF78F7">
        <w:t xml:space="preserve">of the decisions in the study data were positive and 33% negative. In most cases, the positive decisions concerned international protection, but human trafficking was not necessarily the primary grounds for protection. The second-most common reason for granting residence permits was </w:t>
      </w:r>
      <w:proofErr w:type="gramStart"/>
      <w:r w:rsidRPr="00AF78F7">
        <w:t>on the basis of</w:t>
      </w:r>
      <w:proofErr w:type="gramEnd"/>
      <w:r w:rsidRPr="00AF78F7">
        <w:t xml:space="preserve"> individual humanitarian reasons. The residence permit for a victim of human trafficking, added to the Aliens Act in 2006, was rarely applied. The number of positive decisions was 29. According to the study, the threshold of considering a victim of human</w:t>
      </w:r>
      <w:r>
        <w:t xml:space="preserve"> trafficking to be in a particularly vulnerable position was high.</w:t>
      </w:r>
    </w:p>
    <w:p w14:paraId="52F104DA" w14:textId="77777777" w:rsidR="00E43264" w:rsidRPr="00BD68B7" w:rsidRDefault="00E43264" w:rsidP="0017560E">
      <w:pPr>
        <w:pStyle w:val="Eivli"/>
      </w:pPr>
    </w:p>
    <w:p w14:paraId="073812DF" w14:textId="255AECB2" w:rsidR="00CC5857" w:rsidRPr="00BD68B7" w:rsidRDefault="00356A2F" w:rsidP="00356A2F">
      <w:pPr>
        <w:pStyle w:val="Otsikko2"/>
      </w:pPr>
      <w:bookmarkStart w:id="18" w:name="_Toc154142291"/>
      <w:r w:rsidRPr="00BD68B7">
        <w:t>Article 51: Risk assessment and risk management</w:t>
      </w:r>
      <w:bookmarkEnd w:id="18"/>
    </w:p>
    <w:p w14:paraId="1E11860B" w14:textId="165D792C" w:rsidR="00336DD7" w:rsidRPr="00BD68B7" w:rsidRDefault="00B16459" w:rsidP="0026367F">
      <w:pPr>
        <w:pStyle w:val="Leipteksti2kappalenumeroilla"/>
      </w:pPr>
      <w:r w:rsidRPr="00BD68B7">
        <w:t xml:space="preserve">As discussed </w:t>
      </w:r>
      <w:r w:rsidR="00336DD7" w:rsidRPr="00BD68B7">
        <w:t xml:space="preserve">in </w:t>
      </w:r>
      <w:r w:rsidRPr="00BD68B7">
        <w:t>lengt</w:t>
      </w:r>
      <w:r w:rsidR="00336DD7" w:rsidRPr="00BD68B7">
        <w:t>h</w:t>
      </w:r>
      <w:r w:rsidRPr="00BD68B7">
        <w:t xml:space="preserve"> in the </w:t>
      </w:r>
      <w:r w:rsidR="00BA7624">
        <w:t>Government’s</w:t>
      </w:r>
      <w:r w:rsidRPr="00BD68B7">
        <w:t xml:space="preserve"> report, MARAC is the exemplary method in use for risk assessment. </w:t>
      </w:r>
      <w:r w:rsidR="00336DD7" w:rsidRPr="00BD68B7">
        <w:t xml:space="preserve">It should be noted, though, that the method is not deployed equally across the country, </w:t>
      </w:r>
      <w:r w:rsidR="00CB767E" w:rsidRPr="00BD68B7">
        <w:t xml:space="preserve">its use is not mandatory, </w:t>
      </w:r>
      <w:r w:rsidR="00336DD7" w:rsidRPr="00BD68B7">
        <w:t xml:space="preserve">and its funding is not permanent. Also, regardless the aim of gathering different professionals to cooperate in the local and regional </w:t>
      </w:r>
      <w:r w:rsidR="00D45C89" w:rsidRPr="00BD68B7">
        <w:t xml:space="preserve">MARAC </w:t>
      </w:r>
      <w:r w:rsidR="00336DD7" w:rsidRPr="00BD68B7">
        <w:t xml:space="preserve">groups, the </w:t>
      </w:r>
      <w:r w:rsidR="00C13C15">
        <w:t xml:space="preserve">groups’ </w:t>
      </w:r>
      <w:r w:rsidR="00336DD7" w:rsidRPr="00BD68B7">
        <w:t xml:space="preserve">compositions </w:t>
      </w:r>
      <w:r w:rsidR="00130728" w:rsidRPr="00BD68B7">
        <w:t xml:space="preserve">and their activity </w:t>
      </w:r>
      <w:r w:rsidR="00336DD7" w:rsidRPr="00BD68B7">
        <w:t>vary notably</w:t>
      </w:r>
      <w:r w:rsidR="00D45C89" w:rsidRPr="00BD68B7">
        <w:t>.</w:t>
      </w:r>
    </w:p>
    <w:p w14:paraId="1940BBD8" w14:textId="24DD6A4A" w:rsidR="00336DD7" w:rsidRPr="00BD68B7" w:rsidRDefault="00D45C89" w:rsidP="0026367F">
      <w:pPr>
        <w:pStyle w:val="Leipteksti2kappalenumeroilla"/>
      </w:pPr>
      <w:r w:rsidRPr="00BD68B7">
        <w:t xml:space="preserve">On national level, THL coordinates and develops the MARAC method and supports the working groups. </w:t>
      </w:r>
      <w:r w:rsidR="00CB767E" w:rsidRPr="00BD68B7">
        <w:t>The Ombudsman agrees with the Government’s observation on the need to harmonise working methods for all MARAC working groups</w:t>
      </w:r>
      <w:r w:rsidR="00CD2D42" w:rsidRPr="00BD68B7">
        <w:t>,</w:t>
      </w:r>
      <w:r w:rsidR="00CB767E" w:rsidRPr="00BD68B7">
        <w:t xml:space="preserve"> to train professionals</w:t>
      </w:r>
      <w:r w:rsidR="00CD2D42" w:rsidRPr="00BD68B7">
        <w:t>,</w:t>
      </w:r>
      <w:r w:rsidR="00CB767E" w:rsidRPr="00BD68B7">
        <w:t xml:space="preserve"> and </w:t>
      </w:r>
      <w:r w:rsidR="008F1FCD" w:rsidRPr="00BD68B7">
        <w:t xml:space="preserve">to </w:t>
      </w:r>
      <w:r w:rsidR="00CB767E" w:rsidRPr="00BD68B7">
        <w:t>strengthen the coordination</w:t>
      </w:r>
      <w:r w:rsidR="00D110B1" w:rsidRPr="00BD68B7">
        <w:t xml:space="preserve"> (para. 395)</w:t>
      </w:r>
      <w:r w:rsidR="00CB767E" w:rsidRPr="00BD68B7">
        <w:t>. Fortunately, THL has now personnel for th</w:t>
      </w:r>
      <w:r w:rsidR="00CD2D42" w:rsidRPr="00BD68B7">
        <w:t>is</w:t>
      </w:r>
      <w:r w:rsidR="00CB767E" w:rsidRPr="00BD68B7">
        <w:t xml:space="preserve"> work, but </w:t>
      </w:r>
      <w:r w:rsidR="00CD2D42" w:rsidRPr="00BD68B7">
        <w:t>its</w:t>
      </w:r>
      <w:r w:rsidR="00CB767E" w:rsidRPr="00BD68B7">
        <w:t xml:space="preserve"> fixed-term nature is worrying.</w:t>
      </w:r>
    </w:p>
    <w:p w14:paraId="609CB96A" w14:textId="782C5F08" w:rsidR="002F0D7C" w:rsidRPr="00BD68B7" w:rsidRDefault="007F733A" w:rsidP="0026367F">
      <w:pPr>
        <w:pStyle w:val="Leipteksti2kappalenumeroilla"/>
      </w:pPr>
      <w:r w:rsidRPr="00BD68B7">
        <w:t xml:space="preserve">THL follows the number of cases considered by MARAC groups annually and reviews referral to MARAC </w:t>
      </w:r>
      <w:r w:rsidR="008F49B6" w:rsidRPr="00BD68B7">
        <w:t xml:space="preserve">assessment </w:t>
      </w:r>
      <w:r w:rsidRPr="00BD68B7">
        <w:t xml:space="preserve">by different agents. The Government’s report states that persons are most often sent to MARAC by shelters and social services (para. 396). In the Ombudsman’s view, it would be useful to follow how much health care services direct persons to MARAC, considering that </w:t>
      </w:r>
      <w:r w:rsidR="008F49B6" w:rsidRPr="00BD68B7">
        <w:t xml:space="preserve">recent study </w:t>
      </w:r>
      <w:r w:rsidR="00D110B1" w:rsidRPr="00BD68B7">
        <w:t xml:space="preserve">on intimate partner femicides shows </w:t>
      </w:r>
      <w:r w:rsidR="008F49B6" w:rsidRPr="00BD68B7">
        <w:t>a</w:t>
      </w:r>
      <w:r w:rsidR="00D110B1" w:rsidRPr="00BD68B7">
        <w:t xml:space="preserve"> clear </w:t>
      </w:r>
      <w:r w:rsidR="008F49B6" w:rsidRPr="00BD68B7">
        <w:t xml:space="preserve">increase in visits by women to doctor and health care professionals </w:t>
      </w:r>
      <w:r w:rsidR="009A3A3A" w:rsidRPr="00BD68B7">
        <w:t>during</w:t>
      </w:r>
      <w:r w:rsidR="008F49B6" w:rsidRPr="00BD68B7">
        <w:t xml:space="preserve"> the year preceding their death</w:t>
      </w:r>
      <w:r w:rsidR="00581608">
        <w:t>.</w:t>
      </w:r>
      <w:r w:rsidR="00581608">
        <w:rPr>
          <w:rStyle w:val="Alaviitteenviite"/>
        </w:rPr>
        <w:footnoteReference w:id="12"/>
      </w:r>
    </w:p>
    <w:p w14:paraId="704A97AA" w14:textId="3249F5A4" w:rsidR="009A3A3A" w:rsidRPr="00BD68B7" w:rsidRDefault="009A3A3A" w:rsidP="0026367F">
      <w:pPr>
        <w:pStyle w:val="Leipteksti2kappalenumeroilla"/>
      </w:pPr>
      <w:r w:rsidRPr="00BD68B7">
        <w:lastRenderedPageBreak/>
        <w:t>Overall, in the Ombudsman’s view, the Government should grant permanent funding to MARAC method and ensure its nationwide execution.</w:t>
      </w:r>
    </w:p>
    <w:p w14:paraId="0D66730B" w14:textId="3BD095EE" w:rsidR="00C90A5D" w:rsidRPr="00BD68B7" w:rsidRDefault="009F6F48" w:rsidP="00706BA7">
      <w:pPr>
        <w:pStyle w:val="Otsikko1"/>
        <w:spacing w:after="120"/>
      </w:pPr>
      <w:bookmarkStart w:id="19" w:name="_Toc154142292"/>
      <w:r w:rsidRPr="00BD68B7">
        <w:t>Part III: Emerging trends on violence against women and domestic violence</w:t>
      </w:r>
      <w:bookmarkEnd w:id="19"/>
    </w:p>
    <w:p w14:paraId="2B932572" w14:textId="3A1E5E7A" w:rsidR="002B644A" w:rsidRPr="00BD68B7" w:rsidRDefault="008E597C" w:rsidP="0026367F">
      <w:pPr>
        <w:pStyle w:val="Leipteksti2kappalenumeroilla"/>
      </w:pPr>
      <w:r w:rsidRPr="00BD68B7">
        <w:t>As currently the e</w:t>
      </w:r>
      <w:r w:rsidR="00706BA7" w:rsidRPr="00BD68B7">
        <w:t>conomic austerity</w:t>
      </w:r>
      <w:r w:rsidR="00632AAC" w:rsidRPr="00BD68B7">
        <w:t xml:space="preserve"> </w:t>
      </w:r>
      <w:r w:rsidRPr="00BD68B7">
        <w:t xml:space="preserve">is </w:t>
      </w:r>
      <w:r w:rsidR="00632AAC" w:rsidRPr="00BD68B7">
        <w:t>at the centre of national politics</w:t>
      </w:r>
      <w:r w:rsidR="00706BA7" w:rsidRPr="00BD68B7">
        <w:t xml:space="preserve">, it is of utmost importance to assess how cutting down public expenditure and reducing public </w:t>
      </w:r>
      <w:r w:rsidR="002B644A" w:rsidRPr="00BD68B7">
        <w:t xml:space="preserve">services </w:t>
      </w:r>
      <w:r w:rsidR="00706BA7" w:rsidRPr="00BD68B7">
        <w:t>af</w:t>
      </w:r>
      <w:r w:rsidR="002B644A" w:rsidRPr="00BD68B7">
        <w:t>fect</w:t>
      </w:r>
      <w:r w:rsidR="00706BA7" w:rsidRPr="00BD68B7">
        <w:t xml:space="preserve"> </w:t>
      </w:r>
      <w:r w:rsidR="002B644A" w:rsidRPr="00BD68B7">
        <w:t>women victims of violence</w:t>
      </w:r>
      <w:r w:rsidR="00706BA7" w:rsidRPr="00BD68B7">
        <w:t xml:space="preserve"> </w:t>
      </w:r>
      <w:r w:rsidRPr="00BD68B7">
        <w:t xml:space="preserve">and their </w:t>
      </w:r>
      <w:r w:rsidR="00706BA7" w:rsidRPr="00BD68B7">
        <w:t>access to services and justice.</w:t>
      </w:r>
      <w:r w:rsidR="008A544F" w:rsidRPr="00BD68B7">
        <w:t xml:space="preserve"> Thus, t</w:t>
      </w:r>
      <w:r w:rsidR="002B644A" w:rsidRPr="00BD68B7">
        <w:t>he Ombudsman urges the Government of Finland to assess the impact of its austerity measures from the point of view of equality, intersectionality, and gender-based violence against women.</w:t>
      </w:r>
    </w:p>
    <w:p w14:paraId="32DEB7C4" w14:textId="04F70300" w:rsidR="00706BA7" w:rsidRPr="00BD68B7" w:rsidRDefault="002B644A" w:rsidP="0026367F">
      <w:pPr>
        <w:pStyle w:val="Leipteksti2kappalenumeroilla"/>
      </w:pPr>
      <w:r w:rsidRPr="00BD68B7">
        <w:t xml:space="preserve">Furthermore, the Government should also follow consistently how cuts in funding mechanisms, such as </w:t>
      </w:r>
      <w:r w:rsidR="008A544F" w:rsidRPr="00BD68B7">
        <w:t>the suspension of the Government’s analysis, assessment, and research activities (VN T</w:t>
      </w:r>
      <w:r w:rsidR="00ED5A07">
        <w:t>eas</w:t>
      </w:r>
      <w:r w:rsidR="008A544F" w:rsidRPr="00BD68B7">
        <w:t xml:space="preserve">) funding, or decreasing </w:t>
      </w:r>
      <w:r w:rsidRPr="00BD68B7">
        <w:t>funding granted by</w:t>
      </w:r>
      <w:r w:rsidR="0085665F" w:rsidRPr="00BD68B7">
        <w:t xml:space="preserve"> the</w:t>
      </w:r>
      <w:r w:rsidRPr="00BD68B7">
        <w:t xml:space="preserve"> Centre for Social Welfare and Health Organizations, narrow down</w:t>
      </w:r>
      <w:r w:rsidR="008A544F" w:rsidRPr="00BD68B7">
        <w:t xml:space="preserve"> knowledge-based policies and </w:t>
      </w:r>
      <w:r w:rsidRPr="00BD68B7">
        <w:t>specialist supports services, provide</w:t>
      </w:r>
      <w:r w:rsidR="008A544F" w:rsidRPr="00BD68B7">
        <w:t>d</w:t>
      </w:r>
      <w:r w:rsidRPr="00BD68B7">
        <w:t xml:space="preserve"> </w:t>
      </w:r>
      <w:r w:rsidR="00B15DAC" w:rsidRPr="00BD68B7">
        <w:t xml:space="preserve">often </w:t>
      </w:r>
      <w:r w:rsidR="008A544F" w:rsidRPr="00BD68B7">
        <w:t xml:space="preserve">by civil society </w:t>
      </w:r>
      <w:r w:rsidR="000C6D66" w:rsidRPr="00BD68B7">
        <w:t>organisations</w:t>
      </w:r>
      <w:r w:rsidRPr="00BD68B7">
        <w:t>.</w:t>
      </w:r>
    </w:p>
    <w:p w14:paraId="3AF1BB72" w14:textId="1AD79B82" w:rsidR="00794538" w:rsidRPr="00BD68B7" w:rsidRDefault="00794538" w:rsidP="0026367F">
      <w:pPr>
        <w:pStyle w:val="Leipteksti2kappalenumeroilla"/>
      </w:pPr>
      <w:r w:rsidRPr="00BD68B7">
        <w:t>The public debate on violence</w:t>
      </w:r>
      <w:r w:rsidR="005D5D46" w:rsidRPr="00BD68B7">
        <w:t xml:space="preserve"> </w:t>
      </w:r>
      <w:r w:rsidRPr="00BD68B7">
        <w:t xml:space="preserve">has become more </w:t>
      </w:r>
      <w:r w:rsidR="00D37D90" w:rsidRPr="00BD68B7">
        <w:t>racist, and violence, including violence against women, is often framed as a problem</w:t>
      </w:r>
      <w:r w:rsidRPr="00BD68B7">
        <w:t xml:space="preserve"> </w:t>
      </w:r>
      <w:r w:rsidR="00D37D90" w:rsidRPr="00BD68B7">
        <w:t xml:space="preserve">brought to Finland by </w:t>
      </w:r>
      <w:r w:rsidR="005D5D46" w:rsidRPr="00BD68B7">
        <w:t>‘</w:t>
      </w:r>
      <w:proofErr w:type="gramStart"/>
      <w:r w:rsidR="00D37D90" w:rsidRPr="00BD68B7">
        <w:t>others</w:t>
      </w:r>
      <w:r w:rsidR="005D5D46" w:rsidRPr="00BD68B7">
        <w:t>’</w:t>
      </w:r>
      <w:proofErr w:type="gramEnd"/>
      <w:r w:rsidR="00D37D90" w:rsidRPr="00BD68B7">
        <w:t>. This discourse</w:t>
      </w:r>
      <w:r w:rsidR="005D5D46" w:rsidRPr="00BD68B7">
        <w:t xml:space="preserve"> of ‘othering’, popular among some top politicians, increases space to hate speech and hate crimes, trolling and online targeting, making it </w:t>
      </w:r>
      <w:r w:rsidR="000C6D66" w:rsidRPr="00BD68B7">
        <w:t>riskier</w:t>
      </w:r>
      <w:r w:rsidR="005D5D46" w:rsidRPr="00BD68B7">
        <w:t xml:space="preserve"> also for women to </w:t>
      </w:r>
      <w:r w:rsidR="00ED5A07">
        <w:t xml:space="preserve">speak and </w:t>
      </w:r>
      <w:r w:rsidR="005D5D46" w:rsidRPr="00BD68B7">
        <w:t>stand up for their rights.</w:t>
      </w:r>
    </w:p>
    <w:p w14:paraId="59D6DB83" w14:textId="7954C3D0" w:rsidR="008A2DEF" w:rsidRDefault="00720224" w:rsidP="00720224">
      <w:pPr>
        <w:pStyle w:val="Leipteksti2kappalenumeroilla"/>
      </w:pPr>
      <w:r w:rsidRPr="00720224">
        <w:t>Use of tec</w:t>
      </w:r>
      <w:r>
        <w:t>h</w:t>
      </w:r>
      <w:r w:rsidRPr="00720224">
        <w:t>nology and social media p</w:t>
      </w:r>
      <w:r>
        <w:t xml:space="preserve">latforms are changing </w:t>
      </w:r>
      <w:r w:rsidR="008A2DEF">
        <w:t>f</w:t>
      </w:r>
      <w:r>
        <w:t>orms of human interaction and unfortunately enable new form for controlling behaviour and violence.</w:t>
      </w:r>
      <w:r w:rsidR="008A2DEF">
        <w:t xml:space="preserve"> For instance, i</w:t>
      </w:r>
      <w:r w:rsidR="008A2DEF">
        <w:t>n Finland</w:t>
      </w:r>
      <w:r w:rsidR="008A2DEF">
        <w:t xml:space="preserve"> </w:t>
      </w:r>
      <w:r w:rsidR="008A2DEF">
        <w:t xml:space="preserve">it has been estimated that every 7-year-old has access to smart phone regardless they themselves own any. Sexual harassment and abuse of young children, </w:t>
      </w:r>
      <w:proofErr w:type="gramStart"/>
      <w:r w:rsidR="008A2DEF">
        <w:t>girls in particular, take</w:t>
      </w:r>
      <w:proofErr w:type="gramEnd"/>
      <w:r w:rsidR="008A2DEF">
        <w:t xml:space="preserve"> new form</w:t>
      </w:r>
      <w:r w:rsidR="008A2DEF">
        <w:t>s</w:t>
      </w:r>
      <w:r w:rsidR="008A2DEF">
        <w:t>.</w:t>
      </w:r>
    </w:p>
    <w:p w14:paraId="673AAB9B" w14:textId="70B03946" w:rsidR="008B470A" w:rsidRPr="00F8145D" w:rsidRDefault="008A2DEF" w:rsidP="00F8145D">
      <w:pPr>
        <w:pStyle w:val="Leipteksti2kappalenumeroilla"/>
      </w:pPr>
      <w:r>
        <w:t xml:space="preserve">The Ombudsman </w:t>
      </w:r>
      <w:r w:rsidR="00F8145D">
        <w:t>embraces t</w:t>
      </w:r>
      <w:r w:rsidR="00F8145D" w:rsidRPr="00F8145D">
        <w:t xml:space="preserve">he GREVIO General Recommendation No.1 </w:t>
      </w:r>
      <w:r w:rsidR="00F8145D">
        <w:t xml:space="preserve">on </w:t>
      </w:r>
      <w:r w:rsidR="00F8145D" w:rsidRPr="00F8145D">
        <w:t xml:space="preserve">the digital dimension of violence against women </w:t>
      </w:r>
      <w:r w:rsidR="00F8145D">
        <w:t xml:space="preserve">and hopes that Finland will review its national policies to combat violence promptly </w:t>
      </w:r>
      <w:proofErr w:type="gramStart"/>
      <w:r w:rsidR="00F8145D">
        <w:t>in light of</w:t>
      </w:r>
      <w:proofErr w:type="gramEnd"/>
      <w:r>
        <w:t xml:space="preserve"> the recommendation</w:t>
      </w:r>
      <w:r w:rsidR="00F8145D">
        <w:t>.</w:t>
      </w:r>
      <w:bookmarkEnd w:id="0"/>
    </w:p>
    <w:p w14:paraId="65E386F6" w14:textId="0AB3942E" w:rsidR="003447CC" w:rsidRDefault="003447CC" w:rsidP="008B470A">
      <w:pPr>
        <w:spacing w:after="240" w:line="240" w:lineRule="auto"/>
        <w:jc w:val="both"/>
        <w:rPr>
          <w:rFonts w:eastAsia="Times New Roman" w:cs="Times New Roman"/>
          <w:szCs w:val="24"/>
        </w:rPr>
      </w:pPr>
    </w:p>
    <w:p w14:paraId="26486D0C" w14:textId="438C3203" w:rsidR="003447CC" w:rsidRDefault="003447CC" w:rsidP="008B470A">
      <w:pPr>
        <w:spacing w:after="240" w:line="240" w:lineRule="auto"/>
        <w:jc w:val="both"/>
        <w:rPr>
          <w:rFonts w:eastAsia="Times New Roman" w:cs="Times New Roman"/>
          <w:szCs w:val="24"/>
        </w:rPr>
      </w:pPr>
    </w:p>
    <w:p w14:paraId="74676FF5" w14:textId="77777777" w:rsidR="003447CC" w:rsidRPr="00BD68B7" w:rsidRDefault="003447CC" w:rsidP="008B470A">
      <w:pPr>
        <w:spacing w:after="240" w:line="240" w:lineRule="auto"/>
        <w:jc w:val="both"/>
        <w:rPr>
          <w:rFonts w:eastAsia="Times New Roman" w:cs="Times New Roman"/>
          <w:szCs w:val="24"/>
        </w:rPr>
      </w:pPr>
    </w:p>
    <w:p w14:paraId="3B57917F" w14:textId="5BE93D09" w:rsidR="000A67C0" w:rsidRPr="00BD68B7" w:rsidRDefault="002F3495" w:rsidP="00D36FB9">
      <w:pPr>
        <w:spacing w:after="240" w:line="240" w:lineRule="auto"/>
        <w:ind w:left="2608"/>
        <w:jc w:val="both"/>
        <w:rPr>
          <w:rFonts w:eastAsia="Times New Roman" w:cs="Times New Roman"/>
          <w:szCs w:val="24"/>
        </w:rPr>
      </w:pPr>
      <w:r w:rsidRPr="00BD68B7">
        <w:rPr>
          <w:rFonts w:eastAsia="Times New Roman" w:cs="Times New Roman"/>
          <w:szCs w:val="24"/>
        </w:rPr>
        <w:t>Non-Discrimination Ombudsman</w:t>
      </w:r>
      <w:r w:rsidR="000A67C0" w:rsidRPr="00BD68B7">
        <w:rPr>
          <w:rFonts w:eastAsia="Times New Roman" w:cs="Times New Roman"/>
          <w:szCs w:val="24"/>
        </w:rPr>
        <w:tab/>
      </w:r>
      <w:r w:rsidR="0073677B" w:rsidRPr="00BD68B7">
        <w:rPr>
          <w:rFonts w:eastAsia="Times New Roman" w:cs="Times New Roman"/>
          <w:szCs w:val="24"/>
        </w:rPr>
        <w:t>Kristina Stenman</w:t>
      </w:r>
    </w:p>
    <w:p w14:paraId="297583F7" w14:textId="77777777" w:rsidR="000A67C0" w:rsidRPr="00BD68B7" w:rsidRDefault="000A67C0" w:rsidP="00D36FB9">
      <w:pPr>
        <w:spacing w:after="240" w:line="240" w:lineRule="auto"/>
        <w:ind w:left="2608"/>
        <w:jc w:val="both"/>
        <w:rPr>
          <w:rFonts w:eastAsia="Times New Roman" w:cs="Times New Roman"/>
          <w:szCs w:val="24"/>
        </w:rPr>
      </w:pPr>
    </w:p>
    <w:p w14:paraId="69C7933C" w14:textId="66ABEEAF" w:rsidR="000A67C0" w:rsidRPr="00BD68B7" w:rsidRDefault="0073677B" w:rsidP="00E87A8C">
      <w:pPr>
        <w:spacing w:after="240" w:line="240" w:lineRule="auto"/>
        <w:ind w:left="2608"/>
        <w:jc w:val="both"/>
        <w:rPr>
          <w:rFonts w:eastAsia="Times New Roman" w:cs="Times New Roman"/>
          <w:szCs w:val="24"/>
        </w:rPr>
      </w:pPr>
      <w:r w:rsidRPr="00BD68B7">
        <w:rPr>
          <w:rFonts w:eastAsia="Times New Roman" w:cs="Times New Roman"/>
          <w:szCs w:val="24"/>
        </w:rPr>
        <w:t>S</w:t>
      </w:r>
      <w:r w:rsidR="00E3653D" w:rsidRPr="00BD68B7">
        <w:rPr>
          <w:rFonts w:eastAsia="Times New Roman" w:cs="Times New Roman"/>
          <w:szCs w:val="24"/>
        </w:rPr>
        <w:t>pecial Adviser</w:t>
      </w:r>
      <w:r w:rsidR="000A67C0" w:rsidRPr="00BD68B7">
        <w:rPr>
          <w:rFonts w:eastAsia="Times New Roman" w:cs="Times New Roman"/>
          <w:szCs w:val="24"/>
        </w:rPr>
        <w:tab/>
      </w:r>
      <w:r w:rsidR="008A46BD" w:rsidRPr="00BD68B7">
        <w:rPr>
          <w:rFonts w:eastAsia="Times New Roman" w:cs="Times New Roman"/>
          <w:szCs w:val="24"/>
        </w:rPr>
        <w:tab/>
      </w:r>
      <w:r w:rsidRPr="00BD68B7">
        <w:rPr>
          <w:rFonts w:eastAsia="Times New Roman" w:cs="Times New Roman"/>
          <w:szCs w:val="24"/>
        </w:rPr>
        <w:t>Marjo Rantala</w:t>
      </w:r>
    </w:p>
    <w:p w14:paraId="1D824B84" w14:textId="77777777" w:rsidR="00EE547C" w:rsidRPr="00BD68B7" w:rsidRDefault="00EE547C" w:rsidP="00D36FB9">
      <w:pPr>
        <w:jc w:val="both"/>
      </w:pPr>
    </w:p>
    <w:sectPr w:rsidR="00EE547C" w:rsidRPr="00BD68B7" w:rsidSect="00B22ABE">
      <w:headerReference w:type="default" r:id="rId20"/>
      <w:headerReference w:type="first" r:id="rId21"/>
      <w:pgSz w:w="11906" w:h="16838"/>
      <w:pgMar w:top="1531" w:right="566" w:bottom="212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FF23" w14:textId="77777777" w:rsidR="00BA0173" w:rsidRDefault="00BA0173" w:rsidP="007638FA">
      <w:pPr>
        <w:spacing w:after="0" w:line="240" w:lineRule="auto"/>
      </w:pPr>
      <w:r>
        <w:separator/>
      </w:r>
    </w:p>
    <w:p w14:paraId="27AEF7AE" w14:textId="77777777" w:rsidR="00E62FC9" w:rsidRDefault="00E62FC9"/>
  </w:endnote>
  <w:endnote w:type="continuationSeparator" w:id="0">
    <w:p w14:paraId="592688D5" w14:textId="77777777" w:rsidR="00BA0173" w:rsidRDefault="00BA0173" w:rsidP="007638FA">
      <w:pPr>
        <w:spacing w:after="0" w:line="240" w:lineRule="auto"/>
      </w:pPr>
      <w:r>
        <w:continuationSeparator/>
      </w:r>
    </w:p>
    <w:p w14:paraId="3C2141AB" w14:textId="77777777" w:rsidR="00E62FC9" w:rsidRDefault="00E6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DA6D" w14:textId="77777777" w:rsidR="00BA0173" w:rsidRDefault="00BA0173" w:rsidP="007638FA">
      <w:pPr>
        <w:spacing w:after="0" w:line="240" w:lineRule="auto"/>
      </w:pPr>
      <w:r>
        <w:separator/>
      </w:r>
    </w:p>
    <w:p w14:paraId="47DC9084" w14:textId="77777777" w:rsidR="00E62FC9" w:rsidRDefault="00E62FC9"/>
  </w:footnote>
  <w:footnote w:type="continuationSeparator" w:id="0">
    <w:p w14:paraId="791DC28D" w14:textId="77777777" w:rsidR="00BA0173" w:rsidRDefault="00BA0173" w:rsidP="007638FA">
      <w:pPr>
        <w:spacing w:after="0" w:line="240" w:lineRule="auto"/>
      </w:pPr>
      <w:r>
        <w:continuationSeparator/>
      </w:r>
    </w:p>
    <w:p w14:paraId="0FD21DCF" w14:textId="77777777" w:rsidR="00E62FC9" w:rsidRDefault="00E62FC9"/>
  </w:footnote>
  <w:footnote w:id="1">
    <w:p w14:paraId="580E7993" w14:textId="71344E6E" w:rsidR="00B30B84" w:rsidRPr="00B30B84" w:rsidRDefault="00B30B84" w:rsidP="00B30B84">
      <w:pPr>
        <w:pStyle w:val="Alaviitteenteksti"/>
        <w:rPr>
          <w:lang w:val="fi-FI"/>
        </w:rPr>
      </w:pPr>
      <w:r>
        <w:rPr>
          <w:rStyle w:val="Alaviitteenviite"/>
        </w:rPr>
        <w:footnoteRef/>
      </w:r>
      <w:r w:rsidRPr="00B30B84">
        <w:rPr>
          <w:lang w:val="fi-FI"/>
        </w:rPr>
        <w:t xml:space="preserve"> </w:t>
      </w:r>
      <w:r w:rsidRPr="00B30B84">
        <w:rPr>
          <w:lang w:val="fi-FI"/>
        </w:rPr>
        <w:t>October, M</w:t>
      </w:r>
      <w:r w:rsidRPr="00B30B84">
        <w:rPr>
          <w:lang w:val="fi-FI"/>
        </w:rPr>
        <w:t>.</w:t>
      </w:r>
      <w:r w:rsidRPr="00B30B84">
        <w:rPr>
          <w:lang w:val="fi-FI"/>
        </w:rPr>
        <w:t>; Laitinen, H-L</w:t>
      </w:r>
      <w:r w:rsidRPr="00B30B84">
        <w:rPr>
          <w:lang w:val="fi-FI"/>
        </w:rPr>
        <w:t>.:</w:t>
      </w:r>
      <w:r w:rsidRPr="00B30B84">
        <w:rPr>
          <w:lang w:val="fi-FI"/>
        </w:rPr>
        <w:t xml:space="preserve"> Ohjeet kunnille ja hyvinvointialueille lähisuhdeväkivallan ehkäisyn koordinaatiorakenteiden ja lähisuhdeväkivallan vastaisen toiminnan järjestämiseksi</w:t>
      </w:r>
      <w:r>
        <w:rPr>
          <w:lang w:val="fi-FI"/>
        </w:rPr>
        <w:t>, THL, 2022.</w:t>
      </w:r>
      <w:r w:rsidRPr="00B30B84">
        <w:rPr>
          <w:lang w:val="fi-FI"/>
        </w:rPr>
        <w:t xml:space="preserve"> </w:t>
      </w:r>
      <w:proofErr w:type="spellStart"/>
      <w:r>
        <w:rPr>
          <w:lang w:val="fi-FI"/>
        </w:rPr>
        <w:t>See</w:t>
      </w:r>
      <w:proofErr w:type="spellEnd"/>
      <w:r>
        <w:rPr>
          <w:lang w:val="fi-FI"/>
        </w:rPr>
        <w:t xml:space="preserve">: </w:t>
      </w:r>
      <w:r w:rsidR="00936A49" w:rsidRPr="00936A49">
        <w:fldChar w:fldCharType="begin"/>
      </w:r>
      <w:r w:rsidR="00936A49" w:rsidRPr="004A7C16">
        <w:rPr>
          <w:lang w:val="fi-FI"/>
        </w:rPr>
        <w:instrText xml:space="preserve"> HYPERLINK "https://urn.fi/URN:ISBN:978-952-343-878-1" </w:instrText>
      </w:r>
      <w:r w:rsidR="00936A49" w:rsidRPr="00936A49">
        <w:fldChar w:fldCharType="separate"/>
      </w:r>
      <w:r w:rsidR="00936A49" w:rsidRPr="004A7C16">
        <w:rPr>
          <w:rStyle w:val="Hyperlinkki"/>
          <w:lang w:val="fi-FI"/>
        </w:rPr>
        <w:t>https://urn.fi/URN:ISBN:978-952-343-878-1</w:t>
      </w:r>
      <w:r w:rsidR="00936A49" w:rsidRPr="00936A49">
        <w:rPr>
          <w:lang w:val="fi-FI"/>
        </w:rPr>
        <w:fldChar w:fldCharType="end"/>
      </w:r>
      <w:r w:rsidR="00442D7B">
        <w:rPr>
          <w:lang w:val="fi-FI"/>
        </w:rPr>
        <w:t>.</w:t>
      </w:r>
      <w:r w:rsidR="00936A49" w:rsidRPr="00936A49">
        <w:rPr>
          <w:lang w:val="fi-FI"/>
        </w:rPr>
        <w:t xml:space="preserve"> </w:t>
      </w:r>
      <w:r w:rsidRPr="00B30B84">
        <w:rPr>
          <w:lang w:val="fi-FI"/>
        </w:rPr>
        <w:t>(</w:t>
      </w:r>
      <w:r w:rsidRPr="00B30B84">
        <w:rPr>
          <w:lang w:val="fi-FI"/>
        </w:rPr>
        <w:t xml:space="preserve">October &amp; Laitinen </w:t>
      </w:r>
      <w:r w:rsidRPr="00B30B84">
        <w:rPr>
          <w:lang w:val="fi-FI"/>
        </w:rPr>
        <w:t>2022)</w:t>
      </w:r>
    </w:p>
  </w:footnote>
  <w:footnote w:id="2">
    <w:p w14:paraId="5FF99E3E" w14:textId="501FDB7E" w:rsidR="0099033E" w:rsidRPr="00EF3758" w:rsidRDefault="0099033E">
      <w:pPr>
        <w:pStyle w:val="Alaviitteenteksti"/>
        <w:rPr>
          <w:lang w:val="fi-FI"/>
        </w:rPr>
      </w:pPr>
      <w:r>
        <w:rPr>
          <w:rStyle w:val="Alaviitteenviite"/>
        </w:rPr>
        <w:footnoteRef/>
      </w:r>
      <w:r w:rsidRPr="0099033E">
        <w:rPr>
          <w:lang w:val="fi-FI"/>
        </w:rPr>
        <w:t xml:space="preserve"> </w:t>
      </w:r>
      <w:r>
        <w:rPr>
          <w:lang w:val="fi-FI"/>
        </w:rPr>
        <w:t xml:space="preserve">Krogell, J. &amp; Niklander, E.: </w:t>
      </w:r>
      <w:r w:rsidRPr="0099033E">
        <w:rPr>
          <w:lang w:val="fi-FI"/>
        </w:rPr>
        <w:t>Lähisuhdeväkivallan ehkäisyn rakenteet vaihtelevat eri puolilla maata: koordinaattoriverkostosta tukea ohjeiden toimeenpanoon</w:t>
      </w:r>
      <w:r>
        <w:rPr>
          <w:lang w:val="fi-FI"/>
        </w:rPr>
        <w:t xml:space="preserve">, THL, 2023. </w:t>
      </w:r>
      <w:proofErr w:type="spellStart"/>
      <w:r w:rsidR="00936A49">
        <w:rPr>
          <w:lang w:val="fi-FI"/>
        </w:rPr>
        <w:t>See</w:t>
      </w:r>
      <w:proofErr w:type="spellEnd"/>
      <w:r w:rsidR="00936A49">
        <w:rPr>
          <w:lang w:val="fi-FI"/>
        </w:rPr>
        <w:t xml:space="preserve">: </w:t>
      </w:r>
      <w:hyperlink r:id="rId1" w:history="1">
        <w:r w:rsidR="00442D7B" w:rsidRPr="00EF3758">
          <w:rPr>
            <w:rStyle w:val="Hyperlinkki"/>
            <w:lang w:val="fi-FI"/>
          </w:rPr>
          <w:t>https://urn.fi/URN:ISBN:978-952-408-238-9</w:t>
        </w:r>
      </w:hyperlink>
      <w:r w:rsidR="00442D7B">
        <w:rPr>
          <w:lang w:val="fi-FI"/>
        </w:rPr>
        <w:t>.</w:t>
      </w:r>
      <w:r w:rsidR="00442D7B" w:rsidRPr="00EF3758">
        <w:rPr>
          <w:lang w:val="fi-FI"/>
        </w:rPr>
        <w:t xml:space="preserve"> </w:t>
      </w:r>
      <w:r w:rsidRPr="00EF3758">
        <w:rPr>
          <w:lang w:val="fi-FI"/>
        </w:rPr>
        <w:t>(Krogell &amp; Niklander 2023)</w:t>
      </w:r>
    </w:p>
  </w:footnote>
  <w:footnote w:id="3">
    <w:p w14:paraId="14024DCA" w14:textId="77777777" w:rsidR="00AD485B" w:rsidRPr="00EF3758" w:rsidRDefault="00AD485B" w:rsidP="00AD485B">
      <w:pPr>
        <w:pStyle w:val="Alaviitteenteksti"/>
        <w:rPr>
          <w:lang w:val="fi-FI"/>
        </w:rPr>
      </w:pPr>
      <w:r>
        <w:rPr>
          <w:rStyle w:val="Alaviitteenviite"/>
        </w:rPr>
        <w:footnoteRef/>
      </w:r>
      <w:r w:rsidRPr="00EF3758">
        <w:rPr>
          <w:lang w:val="fi-FI"/>
        </w:rPr>
        <w:t xml:space="preserve"> Siltala, H., </w:t>
      </w:r>
      <w:proofErr w:type="spellStart"/>
      <w:r w:rsidRPr="00EF3758">
        <w:rPr>
          <w:lang w:val="fi-FI"/>
        </w:rPr>
        <w:t>Hisasue</w:t>
      </w:r>
      <w:proofErr w:type="spellEnd"/>
      <w:r w:rsidRPr="00EF3758">
        <w:rPr>
          <w:lang w:val="fi-FI"/>
        </w:rPr>
        <w:t xml:space="preserve">, T., Hietamäki, J., Saari, J., Laajasalo, T., October, M., Laitinen, H-M. </w:t>
      </w:r>
      <w:r w:rsidRPr="00EF3758">
        <w:rPr>
          <w:lang w:val="en-US"/>
        </w:rPr>
        <w:t xml:space="preserve">&amp; </w:t>
      </w:r>
      <w:proofErr w:type="spellStart"/>
      <w:r w:rsidRPr="00EF3758">
        <w:rPr>
          <w:lang w:val="en-US"/>
        </w:rPr>
        <w:t>Raitanen</w:t>
      </w:r>
      <w:proofErr w:type="spellEnd"/>
      <w:r w:rsidRPr="00EF3758">
        <w:rPr>
          <w:lang w:val="en-US"/>
        </w:rPr>
        <w:t>, J.</w:t>
      </w:r>
      <w:r>
        <w:rPr>
          <w:lang w:val="en-US"/>
        </w:rPr>
        <w:t>:</w:t>
      </w:r>
      <w:r w:rsidRPr="00EF3758">
        <w:rPr>
          <w:lang w:val="en-US"/>
        </w:rPr>
        <w:t xml:space="preserve"> </w:t>
      </w:r>
      <w:r w:rsidRPr="00C12D08">
        <w:t>Domestic violence-related use of services and the resulting costs in health, social and legal services</w:t>
      </w:r>
      <w:r>
        <w:t xml:space="preserve">. </w:t>
      </w:r>
      <w:r w:rsidRPr="00C12D08">
        <w:t>Publications of the Government</w:t>
      </w:r>
      <w:r>
        <w:t>’</w:t>
      </w:r>
      <w:r w:rsidRPr="00C12D08">
        <w:t>s analysis, assessment, and research activities 2023:4</w:t>
      </w:r>
      <w:r>
        <w:t xml:space="preserve">. Prime Minister’s Office, </w:t>
      </w:r>
      <w:r w:rsidRPr="00C12D08">
        <w:t>2023</w:t>
      </w:r>
      <w:r>
        <w:t xml:space="preserve">. </w:t>
      </w:r>
      <w:proofErr w:type="spellStart"/>
      <w:r w:rsidRPr="00EF3758">
        <w:rPr>
          <w:lang w:val="fi-FI"/>
        </w:rPr>
        <w:t>See</w:t>
      </w:r>
      <w:proofErr w:type="spellEnd"/>
      <w:r w:rsidRPr="00EF3758">
        <w:rPr>
          <w:lang w:val="fi-FI"/>
        </w:rPr>
        <w:t xml:space="preserve"> English version: </w:t>
      </w:r>
      <w:hyperlink r:id="rId2" w:history="1">
        <w:r w:rsidRPr="00EF3758">
          <w:rPr>
            <w:rStyle w:val="Hyperlinkki"/>
            <w:lang w:val="fi-FI"/>
          </w:rPr>
          <w:t>http://urn.fi/URN:ISBN:978-952-383-317-3</w:t>
        </w:r>
      </w:hyperlink>
      <w:r w:rsidRPr="00EF3758">
        <w:rPr>
          <w:lang w:val="fi-FI"/>
        </w:rPr>
        <w:t>. (Siltala et</w:t>
      </w:r>
      <w:r>
        <w:rPr>
          <w:lang w:val="fi-FI"/>
        </w:rPr>
        <w:t xml:space="preserve"> al. 2023)</w:t>
      </w:r>
    </w:p>
  </w:footnote>
  <w:footnote w:id="4">
    <w:p w14:paraId="5E6F092C" w14:textId="77777777" w:rsidR="00A22C5E" w:rsidRPr="00856A5F" w:rsidRDefault="00A22C5E" w:rsidP="00A22C5E">
      <w:pPr>
        <w:pStyle w:val="Alaviitteenteksti"/>
        <w:rPr>
          <w:lang w:val="fi-FI"/>
        </w:rPr>
      </w:pPr>
      <w:r>
        <w:rPr>
          <w:rStyle w:val="Alaviitteenviite"/>
        </w:rPr>
        <w:footnoteRef/>
      </w:r>
      <w:r w:rsidRPr="00A22C5E">
        <w:rPr>
          <w:lang w:val="fi-FI"/>
        </w:rPr>
        <w:t xml:space="preserve"> </w:t>
      </w:r>
      <w:r w:rsidRPr="00344D8B">
        <w:rPr>
          <w:lang w:val="fi-FI"/>
        </w:rPr>
        <w:t>Attila</w:t>
      </w:r>
      <w:r>
        <w:rPr>
          <w:lang w:val="fi-FI"/>
        </w:rPr>
        <w:t xml:space="preserve">, H.; </w:t>
      </w:r>
      <w:r w:rsidRPr="00344D8B">
        <w:rPr>
          <w:lang w:val="fi-FI"/>
        </w:rPr>
        <w:t>Keski-Petäjä</w:t>
      </w:r>
      <w:r>
        <w:rPr>
          <w:lang w:val="fi-FI"/>
        </w:rPr>
        <w:t xml:space="preserve">, M.; </w:t>
      </w:r>
      <w:r w:rsidRPr="00344D8B">
        <w:rPr>
          <w:lang w:val="fi-FI"/>
        </w:rPr>
        <w:t>Pietiläinen</w:t>
      </w:r>
      <w:r>
        <w:rPr>
          <w:lang w:val="fi-FI"/>
        </w:rPr>
        <w:t xml:space="preserve">, M.; </w:t>
      </w:r>
      <w:proofErr w:type="spellStart"/>
      <w:r w:rsidRPr="00344D8B">
        <w:rPr>
          <w:lang w:val="fi-FI"/>
        </w:rPr>
        <w:t>Lipasti</w:t>
      </w:r>
      <w:proofErr w:type="spellEnd"/>
      <w:r>
        <w:rPr>
          <w:lang w:val="fi-FI"/>
        </w:rPr>
        <w:t xml:space="preserve">, L.; </w:t>
      </w:r>
      <w:r w:rsidRPr="00344D8B">
        <w:rPr>
          <w:lang w:val="fi-FI"/>
        </w:rPr>
        <w:t>Saari</w:t>
      </w:r>
      <w:r>
        <w:rPr>
          <w:lang w:val="fi-FI"/>
        </w:rPr>
        <w:t>, J. &amp;</w:t>
      </w:r>
      <w:r w:rsidRPr="00344D8B">
        <w:rPr>
          <w:lang w:val="fi-FI"/>
        </w:rPr>
        <w:t xml:space="preserve"> Haapakangas</w:t>
      </w:r>
      <w:r>
        <w:rPr>
          <w:lang w:val="fi-FI"/>
        </w:rPr>
        <w:t xml:space="preserve">, K.: </w:t>
      </w:r>
      <w:r w:rsidRPr="00856A5F">
        <w:rPr>
          <w:lang w:val="fi-FI"/>
        </w:rPr>
        <w:t xml:space="preserve">Sukupuolistunut väkivalta ja </w:t>
      </w:r>
    </w:p>
    <w:p w14:paraId="15A035FB" w14:textId="16060D1F" w:rsidR="00A22C5E" w:rsidRPr="00AD485B" w:rsidRDefault="00A22C5E" w:rsidP="00A22C5E">
      <w:pPr>
        <w:pStyle w:val="Alaviitteenteksti"/>
        <w:rPr>
          <w:lang w:val="en-US"/>
        </w:rPr>
      </w:pPr>
      <w:r w:rsidRPr="00856A5F">
        <w:rPr>
          <w:lang w:val="fi-FI"/>
        </w:rPr>
        <w:t xml:space="preserve">lähisuhdeväkivalta Suomessa </w:t>
      </w:r>
      <w:r>
        <w:rPr>
          <w:lang w:val="fi-FI"/>
        </w:rPr>
        <w:t xml:space="preserve">2021, </w:t>
      </w:r>
      <w:proofErr w:type="spellStart"/>
      <w:r>
        <w:rPr>
          <w:lang w:val="fi-FI"/>
        </w:rPr>
        <w:t>Statistics</w:t>
      </w:r>
      <w:proofErr w:type="spellEnd"/>
      <w:r>
        <w:rPr>
          <w:lang w:val="fi-FI"/>
        </w:rPr>
        <w:t xml:space="preserve"> Finland, 2023. </w:t>
      </w:r>
      <w:proofErr w:type="spellStart"/>
      <w:r w:rsidRPr="00B30B84">
        <w:rPr>
          <w:lang w:val="fi-FI"/>
        </w:rPr>
        <w:t>See</w:t>
      </w:r>
      <w:proofErr w:type="spellEnd"/>
      <w:r w:rsidRPr="00B30B84">
        <w:rPr>
          <w:lang w:val="fi-FI"/>
        </w:rPr>
        <w:t xml:space="preserve">: </w:t>
      </w:r>
      <w:hyperlink r:id="rId3" w:history="1">
        <w:r w:rsidRPr="00B30B84">
          <w:rPr>
            <w:rStyle w:val="Hyperlinkki"/>
            <w:lang w:val="fi-FI"/>
          </w:rPr>
          <w:t>https://urn.fi/URN:ISBN:978-952-244-717-3</w:t>
        </w:r>
      </w:hyperlink>
      <w:r w:rsidRPr="00B30B84">
        <w:rPr>
          <w:lang w:val="fi-FI"/>
        </w:rPr>
        <w:t xml:space="preserve">. </w:t>
      </w:r>
      <w:r w:rsidRPr="00AD485B">
        <w:t>(Attila et al. 2023)</w:t>
      </w:r>
      <w:r w:rsidR="00AD485B" w:rsidRPr="00AD485B">
        <w:t>;</w:t>
      </w:r>
      <w:r w:rsidR="00AD485B">
        <w:t xml:space="preserve"> See e</w:t>
      </w:r>
      <w:proofErr w:type="spellStart"/>
      <w:r w:rsidR="00AD485B" w:rsidRPr="00AD485B">
        <w:rPr>
          <w:lang w:val="en-US"/>
        </w:rPr>
        <w:t>lectronic</w:t>
      </w:r>
      <w:proofErr w:type="spellEnd"/>
      <w:r w:rsidR="00AD485B" w:rsidRPr="00AD485B">
        <w:rPr>
          <w:lang w:val="en-US"/>
        </w:rPr>
        <w:t xml:space="preserve"> reporting system</w:t>
      </w:r>
      <w:r w:rsidR="00AD485B">
        <w:rPr>
          <w:lang w:val="en-US"/>
        </w:rPr>
        <w:t xml:space="preserve"> of</w:t>
      </w:r>
      <w:r w:rsidR="00AD485B" w:rsidRPr="00AD485B">
        <w:rPr>
          <w:lang w:val="en-US"/>
        </w:rPr>
        <w:t xml:space="preserve"> </w:t>
      </w:r>
      <w:r w:rsidR="00AD485B">
        <w:rPr>
          <w:lang w:val="en-US"/>
        </w:rPr>
        <w:fldChar w:fldCharType="begin"/>
      </w:r>
      <w:r w:rsidR="00AD485B">
        <w:rPr>
          <w:lang w:val="en-US"/>
        </w:rPr>
        <w:instrText xml:space="preserve"> HYPERLINK "http://www.thl.fi/kouluterveyskysely/tulokset" </w:instrText>
      </w:r>
      <w:r w:rsidR="00AD485B">
        <w:rPr>
          <w:lang w:val="en-US"/>
        </w:rPr>
      </w:r>
      <w:r w:rsidR="00AD485B">
        <w:rPr>
          <w:lang w:val="en-US"/>
        </w:rPr>
        <w:fldChar w:fldCharType="separate"/>
      </w:r>
      <w:r w:rsidR="00AD485B" w:rsidRPr="00AD485B">
        <w:rPr>
          <w:rStyle w:val="Hyperlinkki"/>
          <w:lang w:val="en-US"/>
        </w:rPr>
        <w:t>School Health Promoti</w:t>
      </w:r>
      <w:r w:rsidR="00AD485B" w:rsidRPr="00AD485B">
        <w:rPr>
          <w:rStyle w:val="Hyperlinkki"/>
          <w:lang w:val="en-US"/>
        </w:rPr>
        <w:t>o</w:t>
      </w:r>
      <w:r w:rsidR="00AD485B" w:rsidRPr="00AD485B">
        <w:rPr>
          <w:rStyle w:val="Hyperlinkki"/>
          <w:lang w:val="en-US"/>
        </w:rPr>
        <w:t>n Study 2023</w:t>
      </w:r>
      <w:r w:rsidR="00AD485B">
        <w:rPr>
          <w:lang w:val="en-US"/>
        </w:rPr>
        <w:fldChar w:fldCharType="end"/>
      </w:r>
      <w:r w:rsidR="00AD485B">
        <w:rPr>
          <w:lang w:val="en-US"/>
        </w:rPr>
        <w:t xml:space="preserve"> </w:t>
      </w:r>
      <w:r w:rsidR="00AD485B" w:rsidRPr="00AD485B">
        <w:rPr>
          <w:lang w:val="en-US"/>
        </w:rPr>
        <w:t>(in Finnish and Swedish)</w:t>
      </w:r>
      <w:r w:rsidR="00AD485B">
        <w:rPr>
          <w:lang w:val="en-US"/>
        </w:rPr>
        <w:t>.</w:t>
      </w:r>
    </w:p>
  </w:footnote>
  <w:footnote w:id="5">
    <w:p w14:paraId="5A417A8C" w14:textId="77777777" w:rsidR="00E23659" w:rsidRPr="004C177A" w:rsidRDefault="00E23659" w:rsidP="00E23659">
      <w:pPr>
        <w:pStyle w:val="Alaviitteenteksti"/>
        <w:rPr>
          <w:lang w:val="fi-FI"/>
        </w:rPr>
      </w:pPr>
      <w:r>
        <w:rPr>
          <w:rStyle w:val="Alaviitteenviite"/>
        </w:rPr>
        <w:footnoteRef/>
      </w:r>
      <w:r w:rsidRPr="004C177A">
        <w:rPr>
          <w:lang w:val="fi-FI"/>
        </w:rPr>
        <w:t xml:space="preserve"> </w:t>
      </w:r>
      <w:proofErr w:type="spellStart"/>
      <w:r>
        <w:rPr>
          <w:lang w:val="fi-FI"/>
        </w:rPr>
        <w:t>Statistics</w:t>
      </w:r>
      <w:proofErr w:type="spellEnd"/>
      <w:r>
        <w:rPr>
          <w:lang w:val="fi-FI"/>
        </w:rPr>
        <w:t xml:space="preserve"> Finland </w:t>
      </w:r>
      <w:hyperlink r:id="rId4" w:history="1">
        <w:r w:rsidRPr="008E3C08">
          <w:rPr>
            <w:rStyle w:val="Hyperlinkki"/>
            <w:lang w:val="fi-FI"/>
          </w:rPr>
          <w:t>www.tilastokeskus.fi</w:t>
        </w:r>
      </w:hyperlink>
      <w:r w:rsidRPr="004C177A">
        <w:rPr>
          <w:lang w:val="fi-FI"/>
        </w:rPr>
        <w:t xml:space="preserve"> (</w:t>
      </w:r>
      <w:proofErr w:type="spellStart"/>
      <w:r>
        <w:rPr>
          <w:lang w:val="fi-FI"/>
        </w:rPr>
        <w:t>Search</w:t>
      </w:r>
      <w:proofErr w:type="spellEnd"/>
      <w:r>
        <w:rPr>
          <w:lang w:val="fi-FI"/>
        </w:rPr>
        <w:t xml:space="preserve"> </w:t>
      </w:r>
      <w:proofErr w:type="spellStart"/>
      <w:r>
        <w:rPr>
          <w:lang w:val="fi-FI"/>
        </w:rPr>
        <w:t>from</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database</w:t>
      </w:r>
      <w:proofErr w:type="spellEnd"/>
      <w:r>
        <w:rPr>
          <w:lang w:val="fi-FI"/>
        </w:rPr>
        <w:t xml:space="preserve"> </w:t>
      </w:r>
      <w:r w:rsidRPr="004C177A">
        <w:rPr>
          <w:lang w:val="fi-FI"/>
        </w:rPr>
        <w:t>Viranomaisten tietoon tulleen perhe- ja lähisuhdeväkivallan uhrit sukupuolen, iän, rikosnimikkeen, suhteen, asumismuodon ja ilmoitusvuoden mukaan, 2009–2021).</w:t>
      </w:r>
    </w:p>
  </w:footnote>
  <w:footnote w:id="6">
    <w:p w14:paraId="2D38A1CC" w14:textId="77C9AFFA" w:rsidR="00F4589D" w:rsidRPr="003D2645" w:rsidRDefault="00F4589D" w:rsidP="00F4589D">
      <w:pPr>
        <w:pStyle w:val="Alaviitteenteksti"/>
      </w:pPr>
      <w:r>
        <w:rPr>
          <w:rStyle w:val="Alaviitteenviite"/>
        </w:rPr>
        <w:footnoteRef/>
      </w:r>
      <w:r w:rsidRPr="00F4589D">
        <w:t xml:space="preserve"> </w:t>
      </w:r>
      <w:r>
        <w:t>Procedural harassment</w:t>
      </w:r>
      <w:r w:rsidR="00E65446">
        <w:t>, or persecution</w:t>
      </w:r>
      <w:r>
        <w:t xml:space="preserve"> refers to a situation where t</w:t>
      </w:r>
      <w:r w:rsidRPr="00F4589D">
        <w:t>he perpetrator initiate</w:t>
      </w:r>
      <w:r w:rsidR="003D2645">
        <w:t>s</w:t>
      </w:r>
      <w:r w:rsidRPr="00F4589D">
        <w:t xml:space="preserve"> numerous legal processes against his spouse</w:t>
      </w:r>
      <w:r w:rsidR="003D2645">
        <w:t>.</w:t>
      </w:r>
    </w:p>
  </w:footnote>
  <w:footnote w:id="7">
    <w:p w14:paraId="646E31D3" w14:textId="253D7581" w:rsidR="00175A0A" w:rsidRPr="00B30B84" w:rsidRDefault="00175A0A" w:rsidP="00856A5F">
      <w:pPr>
        <w:pStyle w:val="Alaviitteenteksti"/>
        <w:rPr>
          <w:lang w:val="fi-FI"/>
        </w:rPr>
      </w:pPr>
      <w:r>
        <w:rPr>
          <w:rStyle w:val="Alaviitteenviite"/>
        </w:rPr>
        <w:footnoteRef/>
      </w:r>
      <w:r w:rsidRPr="00344D8B">
        <w:rPr>
          <w:lang w:val="fi-FI"/>
        </w:rPr>
        <w:t xml:space="preserve"> </w:t>
      </w:r>
      <w:r w:rsidR="00856A5F" w:rsidRPr="00B30B84">
        <w:rPr>
          <w:lang w:val="fi-FI"/>
        </w:rPr>
        <w:t>Attila et al. 2023</w:t>
      </w:r>
      <w:r w:rsidR="00A22C5E">
        <w:rPr>
          <w:lang w:val="fi-FI"/>
        </w:rPr>
        <w:t>.</w:t>
      </w:r>
    </w:p>
  </w:footnote>
  <w:footnote w:id="8">
    <w:p w14:paraId="0ACBCCEE" w14:textId="578204F6" w:rsidR="008420A6" w:rsidRPr="008420A6" w:rsidRDefault="008420A6" w:rsidP="008420A6">
      <w:pPr>
        <w:pStyle w:val="Alaviitteenteksti"/>
        <w:rPr>
          <w:lang w:val="fi-FI"/>
        </w:rPr>
      </w:pPr>
      <w:r>
        <w:rPr>
          <w:rStyle w:val="Alaviitteenviite"/>
        </w:rPr>
        <w:footnoteRef/>
      </w:r>
      <w:r w:rsidRPr="00344D8B">
        <w:rPr>
          <w:lang w:val="fi-FI"/>
        </w:rPr>
        <w:t xml:space="preserve"> Suonpää, K; Koskela, T.; Sutela, M.; Törölä M. &amp; Aaltonen, M.: </w:t>
      </w:r>
      <w:proofErr w:type="spellStart"/>
      <w:r w:rsidRPr="00052B04">
        <w:rPr>
          <w:lang w:val="fi-FI"/>
        </w:rPr>
        <w:t>Intimate</w:t>
      </w:r>
      <w:proofErr w:type="spellEnd"/>
      <w:r w:rsidRPr="00052B04">
        <w:rPr>
          <w:lang w:val="fi-FI"/>
        </w:rPr>
        <w:t xml:space="preserve"> </w:t>
      </w:r>
      <w:proofErr w:type="spellStart"/>
      <w:r w:rsidRPr="00052B04">
        <w:rPr>
          <w:lang w:val="fi-FI"/>
        </w:rPr>
        <w:t>partner</w:t>
      </w:r>
      <w:proofErr w:type="spellEnd"/>
      <w:r w:rsidRPr="00052B04">
        <w:rPr>
          <w:lang w:val="fi-FI"/>
        </w:rPr>
        <w:t xml:space="preserve"> </w:t>
      </w:r>
      <w:proofErr w:type="spellStart"/>
      <w:r w:rsidRPr="00052B04">
        <w:rPr>
          <w:lang w:val="fi-FI"/>
        </w:rPr>
        <w:t>homicides</w:t>
      </w:r>
      <w:proofErr w:type="spellEnd"/>
      <w:r w:rsidRPr="00052B04">
        <w:rPr>
          <w:lang w:val="fi-FI"/>
        </w:rPr>
        <w:t xml:space="preserve"> </w:t>
      </w:r>
      <w:proofErr w:type="spellStart"/>
      <w:r w:rsidRPr="00052B04">
        <w:rPr>
          <w:lang w:val="fi-FI"/>
        </w:rPr>
        <w:t>against</w:t>
      </w:r>
      <w:proofErr w:type="spellEnd"/>
      <w:r w:rsidRPr="00052B04">
        <w:rPr>
          <w:lang w:val="fi-FI"/>
        </w:rPr>
        <w:t xml:space="preserve"> </w:t>
      </w:r>
      <w:proofErr w:type="spellStart"/>
      <w:r w:rsidRPr="00052B04">
        <w:rPr>
          <w:lang w:val="fi-FI"/>
        </w:rPr>
        <w:t>women</w:t>
      </w:r>
      <w:proofErr w:type="spellEnd"/>
      <w:r w:rsidRPr="00052B04">
        <w:rPr>
          <w:lang w:val="fi-FI"/>
        </w:rPr>
        <w:t xml:space="preserve">. </w:t>
      </w:r>
      <w:r w:rsidRPr="00052B04">
        <w:t>Preceding events, risk factors and prevention,</w:t>
      </w:r>
      <w:r>
        <w:t xml:space="preserve"> Prime Minister’s Office,</w:t>
      </w:r>
      <w:r w:rsidRPr="008420A6">
        <w:t xml:space="preserve"> 2023</w:t>
      </w:r>
      <w:r>
        <w:t xml:space="preserve">. </w:t>
      </w:r>
      <w:r w:rsidRPr="00B30B84">
        <w:t xml:space="preserve">See: </w:t>
      </w:r>
      <w:hyperlink r:id="rId5" w:history="1">
        <w:r w:rsidRPr="00B30B84">
          <w:rPr>
            <w:rStyle w:val="Hyperlinkki"/>
          </w:rPr>
          <w:t>http://urn.fi/URN:ISBN:978-952-383-133-9</w:t>
        </w:r>
      </w:hyperlink>
      <w:r w:rsidRPr="00B30B84">
        <w:t xml:space="preserve">. </w:t>
      </w:r>
      <w:r w:rsidRPr="008420A6">
        <w:rPr>
          <w:lang w:val="fi-FI"/>
        </w:rPr>
        <w:t>(Suonpää et</w:t>
      </w:r>
      <w:r>
        <w:rPr>
          <w:lang w:val="fi-FI"/>
        </w:rPr>
        <w:t xml:space="preserve"> al. 2023)</w:t>
      </w:r>
    </w:p>
  </w:footnote>
  <w:footnote w:id="9">
    <w:p w14:paraId="58980F86" w14:textId="77777777" w:rsidR="00BD3E41" w:rsidRPr="005145EC" w:rsidRDefault="00BD3E41" w:rsidP="00BD3E41">
      <w:pPr>
        <w:pStyle w:val="Alaviitteenteksti"/>
        <w:rPr>
          <w:lang w:val="fi-FI"/>
        </w:rPr>
      </w:pPr>
      <w:r>
        <w:rPr>
          <w:rStyle w:val="Alaviitteenviite"/>
        </w:rPr>
        <w:footnoteRef/>
      </w:r>
      <w:r w:rsidRPr="005145EC">
        <w:rPr>
          <w:lang w:val="fi-FI"/>
        </w:rPr>
        <w:t xml:space="preserve"> </w:t>
      </w:r>
      <w:r>
        <w:rPr>
          <w:lang w:val="fi-FI"/>
        </w:rPr>
        <w:t>Siltala et al. 2023.</w:t>
      </w:r>
    </w:p>
  </w:footnote>
  <w:footnote w:id="10">
    <w:p w14:paraId="7F6E5AE0" w14:textId="422549A3" w:rsidR="005145EC" w:rsidRPr="005145EC" w:rsidRDefault="005145EC">
      <w:pPr>
        <w:pStyle w:val="Alaviitteenteksti"/>
        <w:rPr>
          <w:lang w:val="fi-FI"/>
        </w:rPr>
      </w:pPr>
      <w:r>
        <w:rPr>
          <w:rStyle w:val="Alaviitteenviite"/>
        </w:rPr>
        <w:footnoteRef/>
      </w:r>
      <w:r w:rsidRPr="005145EC">
        <w:rPr>
          <w:lang w:val="fi-FI"/>
        </w:rPr>
        <w:t xml:space="preserve"> </w:t>
      </w:r>
      <w:r>
        <w:rPr>
          <w:lang w:val="fi-FI"/>
        </w:rPr>
        <w:t>Suonpää et al. 2023.</w:t>
      </w:r>
    </w:p>
  </w:footnote>
  <w:footnote w:id="11">
    <w:p w14:paraId="4FFF6DD4" w14:textId="070A506E" w:rsidR="000163B2" w:rsidRPr="00466513" w:rsidRDefault="000163B2" w:rsidP="000163B2">
      <w:pPr>
        <w:pStyle w:val="Alaviitteenteksti"/>
        <w:rPr>
          <w:lang w:val="fi-FI"/>
        </w:rPr>
      </w:pPr>
      <w:r>
        <w:rPr>
          <w:rStyle w:val="Alaviitteenviite"/>
        </w:rPr>
        <w:footnoteRef/>
      </w:r>
      <w:r w:rsidRPr="00466513">
        <w:rPr>
          <w:lang w:val="fi-FI"/>
        </w:rPr>
        <w:t xml:space="preserve"> </w:t>
      </w:r>
      <w:r w:rsidRPr="00506191">
        <w:rPr>
          <w:lang w:val="fi-FI"/>
        </w:rPr>
        <w:t>Tammi-Moilanen</w:t>
      </w:r>
      <w:r w:rsidR="007E2A6F">
        <w:rPr>
          <w:lang w:val="fi-FI"/>
        </w:rPr>
        <w:t xml:space="preserve">, K.: </w:t>
      </w:r>
      <w:r w:rsidRPr="00506191">
        <w:rPr>
          <w:lang w:val="fi-FI"/>
        </w:rPr>
        <w:t>Naisvankiselvitys</w:t>
      </w:r>
      <w:r>
        <w:rPr>
          <w:lang w:val="fi-FI"/>
        </w:rPr>
        <w:t xml:space="preserve">: </w:t>
      </w:r>
      <w:r w:rsidRPr="00506191">
        <w:rPr>
          <w:lang w:val="fi-FI"/>
        </w:rPr>
        <w:t>Selvitys naisvankien olosuhteista, toiminnoista ja turvallisuudesta</w:t>
      </w:r>
      <w:r>
        <w:rPr>
          <w:lang w:val="fi-FI"/>
        </w:rPr>
        <w:t xml:space="preserve">, </w:t>
      </w:r>
      <w:r w:rsidRPr="00506191">
        <w:rPr>
          <w:lang w:val="fi-FI"/>
        </w:rPr>
        <w:t>Rikosseuraamuslaitoksen monisteita 4/2020</w:t>
      </w:r>
      <w:r w:rsidR="007E2A6F">
        <w:rPr>
          <w:lang w:val="fi-FI"/>
        </w:rPr>
        <w:t xml:space="preserve">, </w:t>
      </w:r>
      <w:r w:rsidR="007E2A6F">
        <w:rPr>
          <w:lang w:val="fi-FI"/>
        </w:rPr>
        <w:t>2020</w:t>
      </w:r>
      <w:r w:rsidR="007E2A6F">
        <w:rPr>
          <w:lang w:val="fi-FI"/>
        </w:rPr>
        <w:t>.</w:t>
      </w:r>
    </w:p>
  </w:footnote>
  <w:footnote w:id="12">
    <w:p w14:paraId="296A70B4" w14:textId="06DE4B0C" w:rsidR="00581608" w:rsidRPr="00581608" w:rsidRDefault="00581608">
      <w:pPr>
        <w:pStyle w:val="Alaviitteenteksti"/>
        <w:rPr>
          <w:lang w:val="fi-FI"/>
        </w:rPr>
      </w:pPr>
      <w:r>
        <w:rPr>
          <w:rStyle w:val="Alaviitteenviite"/>
        </w:rPr>
        <w:footnoteRef/>
      </w:r>
      <w:r>
        <w:t xml:space="preserve"> </w:t>
      </w:r>
      <w:proofErr w:type="spellStart"/>
      <w:r w:rsidRPr="00BD68B7">
        <w:t>Suonpää</w:t>
      </w:r>
      <w:proofErr w:type="spellEnd"/>
      <w:r w:rsidRPr="00BD68B7">
        <w:t xml:space="preserve"> et al.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97749"/>
      <w:docPartObj>
        <w:docPartGallery w:val="Page Numbers (Top of Page)"/>
        <w:docPartUnique/>
      </w:docPartObj>
    </w:sdtPr>
    <w:sdtEndPr/>
    <w:sdtContent>
      <w:p w14:paraId="71275360" w14:textId="6AE241DA" w:rsidR="00781E10" w:rsidRDefault="00781E10">
        <w:pPr>
          <w:pStyle w:val="Yltunniste"/>
          <w:jc w:val="right"/>
        </w:pPr>
        <w:r>
          <w:fldChar w:fldCharType="begin"/>
        </w:r>
        <w:r>
          <w:instrText>PAGE   \* MERGEFORMAT</w:instrText>
        </w:r>
        <w:r>
          <w:fldChar w:fldCharType="separate"/>
        </w:r>
        <w:r>
          <w:rPr>
            <w:lang w:val="fi-FI"/>
          </w:rPr>
          <w:t>2</w:t>
        </w:r>
        <w:r>
          <w:fldChar w:fldCharType="end"/>
        </w:r>
        <w:r>
          <w:t>(19)</w:t>
        </w:r>
      </w:p>
    </w:sdtContent>
  </w:sdt>
  <w:p w14:paraId="5EC301BD" w14:textId="77777777" w:rsidR="00781E10" w:rsidRDefault="00781E1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24" w:type="dxa"/>
      <w:tblLayout w:type="fixed"/>
      <w:tblLook w:val="04A0" w:firstRow="1" w:lastRow="0" w:firstColumn="1" w:lastColumn="0" w:noHBand="0" w:noVBand="1"/>
    </w:tblPr>
    <w:tblGrid>
      <w:gridCol w:w="5222"/>
      <w:gridCol w:w="2551"/>
      <w:gridCol w:w="2551"/>
    </w:tblGrid>
    <w:tr w:rsidR="00B22ABE" w:rsidRPr="002A339C" w14:paraId="5330436E" w14:textId="77777777" w:rsidTr="0008321B">
      <w:trPr>
        <w:trHeight w:val="1134"/>
      </w:trPr>
      <w:tc>
        <w:tcPr>
          <w:tcW w:w="5222" w:type="dxa"/>
        </w:tcPr>
        <w:p w14:paraId="2D1E2A52" w14:textId="77777777" w:rsidR="00B22ABE" w:rsidRPr="002A339C" w:rsidRDefault="00B22ABE" w:rsidP="007253B8">
          <w:pPr>
            <w:pStyle w:val="Yltunniste"/>
            <w:rPr>
              <w:sz w:val="28"/>
              <w:szCs w:val="28"/>
            </w:rPr>
          </w:pPr>
          <w:r w:rsidRPr="002A339C">
            <w:rPr>
              <w:noProof/>
              <w:lang w:eastAsia="fi-FI"/>
            </w:rPr>
            <w:drawing>
              <wp:anchor distT="0" distB="0" distL="114300" distR="114300" simplePos="0" relativeHeight="251689984" behindDoc="1" locked="0" layoutInCell="1" allowOverlap="1" wp14:anchorId="324E80A7" wp14:editId="08AA5A97">
                <wp:simplePos x="0" y="0"/>
                <wp:positionH relativeFrom="column">
                  <wp:posOffset>-217170</wp:posOffset>
                </wp:positionH>
                <wp:positionV relativeFrom="page">
                  <wp:posOffset>-50165</wp:posOffset>
                </wp:positionV>
                <wp:extent cx="2469515" cy="1720215"/>
                <wp:effectExtent l="0" t="0" r="6985" b="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1" w:type="dxa"/>
        </w:tcPr>
        <w:p w14:paraId="794A5C09" w14:textId="77777777" w:rsidR="00B22ABE" w:rsidRPr="002A339C" w:rsidRDefault="00B22ABE" w:rsidP="00453D63">
          <w:pPr>
            <w:pStyle w:val="Yltunniste"/>
            <w:rPr>
              <w:b/>
            </w:rPr>
          </w:pPr>
          <w:r>
            <w:rPr>
              <w:b/>
            </w:rPr>
            <w:t>Comments</w:t>
          </w:r>
        </w:p>
      </w:tc>
      <w:tc>
        <w:tcPr>
          <w:tcW w:w="2551" w:type="dxa"/>
        </w:tcPr>
        <w:p w14:paraId="34B9B3B7" w14:textId="3C13EA1C" w:rsidR="00B22ABE" w:rsidRPr="002A339C" w:rsidRDefault="00B22ABE" w:rsidP="00A34744">
          <w:pPr>
            <w:pStyle w:val="Yltunniste"/>
            <w:jc w:val="right"/>
          </w:pPr>
        </w:p>
      </w:tc>
    </w:tr>
    <w:tr w:rsidR="00B22ABE" w:rsidRPr="002A339C" w14:paraId="12333FCF" w14:textId="77777777" w:rsidTr="0008321B">
      <w:trPr>
        <w:trHeight w:val="1701"/>
      </w:trPr>
      <w:tc>
        <w:tcPr>
          <w:tcW w:w="5222" w:type="dxa"/>
        </w:tcPr>
        <w:p w14:paraId="7D97A587" w14:textId="77777777" w:rsidR="00B22ABE" w:rsidRPr="002A339C" w:rsidRDefault="00B22ABE" w:rsidP="007253B8">
          <w:pPr>
            <w:pStyle w:val="Yltunniste"/>
          </w:pPr>
        </w:p>
      </w:tc>
      <w:tc>
        <w:tcPr>
          <w:tcW w:w="2551" w:type="dxa"/>
        </w:tcPr>
        <w:p w14:paraId="3DB632B1" w14:textId="549F83A6" w:rsidR="00B22ABE" w:rsidRPr="002A339C" w:rsidRDefault="00781E10" w:rsidP="00E96007">
          <w:pPr>
            <w:pStyle w:val="Yltunniste"/>
          </w:pPr>
          <w:r>
            <w:t>2</w:t>
          </w:r>
          <w:r w:rsidR="00030723">
            <w:t>2</w:t>
          </w:r>
          <w:r w:rsidR="00B22ABE">
            <w:t xml:space="preserve"> December 2023</w:t>
          </w:r>
        </w:p>
      </w:tc>
      <w:tc>
        <w:tcPr>
          <w:tcW w:w="2551" w:type="dxa"/>
        </w:tcPr>
        <w:p w14:paraId="11C37384" w14:textId="76A036D3" w:rsidR="00B22ABE" w:rsidRPr="002A339C" w:rsidRDefault="00B22ABE" w:rsidP="00A55DEE">
          <w:pPr>
            <w:pStyle w:val="Yltunniste"/>
          </w:pPr>
          <w:r w:rsidRPr="002A339C">
            <w:t>VVTDno-20</w:t>
          </w:r>
          <w:r>
            <w:t>23</w:t>
          </w:r>
          <w:r w:rsidRPr="002A339C">
            <w:t>-</w:t>
          </w:r>
          <w:r w:rsidR="00781E10">
            <w:t>2017</w:t>
          </w:r>
        </w:p>
      </w:tc>
    </w:tr>
  </w:tbl>
  <w:p w14:paraId="5323AC29" w14:textId="77777777" w:rsidR="00B22ABE" w:rsidRPr="002A339C" w:rsidRDefault="00B22ABE">
    <w:pPr>
      <w:pStyle w:val="Yltunniste"/>
    </w:pPr>
  </w:p>
  <w:p w14:paraId="1A907112" w14:textId="77777777" w:rsidR="00B22ABE" w:rsidRDefault="00B22A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3A61"/>
    <w:multiLevelType w:val="hybridMultilevel"/>
    <w:tmpl w:val="B39CE4DE"/>
    <w:lvl w:ilvl="0" w:tplc="4514650A">
      <w:start w:val="1"/>
      <w:numFmt w:val="decimal"/>
      <w:pStyle w:val="Otsikko3"/>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276D2926"/>
    <w:multiLevelType w:val="multilevel"/>
    <w:tmpl w:val="040B001D"/>
    <w:styleLink w:val="Tyyli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8F7310"/>
    <w:multiLevelType w:val="multilevel"/>
    <w:tmpl w:val="254AD040"/>
    <w:lvl w:ilvl="0">
      <w:start w:val="1"/>
      <w:numFmt w:val="decimal"/>
      <w:lvlText w:val="%1)"/>
      <w:lvlJc w:val="left"/>
      <w:pPr>
        <w:ind w:left="2741" w:hanging="360"/>
      </w:pPr>
    </w:lvl>
    <w:lvl w:ilvl="1">
      <w:start w:val="1"/>
      <w:numFmt w:val="bullet"/>
      <w:lvlText w:val=""/>
      <w:lvlJc w:val="left"/>
      <w:pPr>
        <w:ind w:left="3101" w:hanging="360"/>
      </w:pPr>
      <w:rPr>
        <w:rFonts w:ascii="Symbol" w:hAnsi="Symbol" w:hint="default"/>
      </w:rPr>
    </w:lvl>
    <w:lvl w:ilvl="2">
      <w:start w:val="1"/>
      <w:numFmt w:val="lowerRoman"/>
      <w:lvlText w:val="%3)"/>
      <w:lvlJc w:val="left"/>
      <w:pPr>
        <w:ind w:left="3461" w:hanging="360"/>
      </w:pPr>
    </w:lvl>
    <w:lvl w:ilvl="3">
      <w:start w:val="1"/>
      <w:numFmt w:val="decimal"/>
      <w:lvlText w:val="(%4)"/>
      <w:lvlJc w:val="left"/>
      <w:pPr>
        <w:ind w:left="3821" w:hanging="360"/>
      </w:pPr>
    </w:lvl>
    <w:lvl w:ilvl="4">
      <w:start w:val="1"/>
      <w:numFmt w:val="lowerLetter"/>
      <w:lvlText w:val="(%5)"/>
      <w:lvlJc w:val="left"/>
      <w:pPr>
        <w:ind w:left="4181" w:hanging="360"/>
      </w:pPr>
    </w:lvl>
    <w:lvl w:ilvl="5">
      <w:start w:val="1"/>
      <w:numFmt w:val="lowerRoman"/>
      <w:lvlText w:val="(%6)"/>
      <w:lvlJc w:val="left"/>
      <w:pPr>
        <w:ind w:left="4541" w:hanging="360"/>
      </w:pPr>
    </w:lvl>
    <w:lvl w:ilvl="6">
      <w:start w:val="1"/>
      <w:numFmt w:val="decimal"/>
      <w:lvlText w:val="%7."/>
      <w:lvlJc w:val="left"/>
      <w:pPr>
        <w:ind w:left="4901" w:hanging="360"/>
      </w:pPr>
    </w:lvl>
    <w:lvl w:ilvl="7">
      <w:start w:val="1"/>
      <w:numFmt w:val="lowerLetter"/>
      <w:lvlText w:val="%8."/>
      <w:lvlJc w:val="left"/>
      <w:pPr>
        <w:ind w:left="5261" w:hanging="360"/>
      </w:pPr>
    </w:lvl>
    <w:lvl w:ilvl="8">
      <w:start w:val="1"/>
      <w:numFmt w:val="lowerRoman"/>
      <w:lvlText w:val="%9."/>
      <w:lvlJc w:val="left"/>
      <w:pPr>
        <w:ind w:left="5621" w:hanging="360"/>
      </w:pPr>
    </w:lvl>
  </w:abstractNum>
  <w:abstractNum w:abstractNumId="3" w15:restartNumberingAfterBreak="0">
    <w:nsid w:val="4C580F0A"/>
    <w:multiLevelType w:val="singleLevel"/>
    <w:tmpl w:val="743214C4"/>
    <w:lvl w:ilvl="0">
      <w:start w:val="1"/>
      <w:numFmt w:val="decimal"/>
      <w:pStyle w:val="Otsikko30"/>
      <w:lvlText w:val="%1."/>
      <w:lvlJc w:val="left"/>
      <w:pPr>
        <w:ind w:left="360" w:hanging="360"/>
      </w:pPr>
      <w:rPr>
        <w:rFonts w:hint="default"/>
      </w:rPr>
    </w:lvl>
  </w:abstractNum>
  <w:abstractNum w:abstractNumId="4" w15:restartNumberingAfterBreak="0">
    <w:nsid w:val="58AE4E97"/>
    <w:multiLevelType w:val="hybridMultilevel"/>
    <w:tmpl w:val="A684B912"/>
    <w:lvl w:ilvl="0" w:tplc="871A65F8">
      <w:start w:val="1"/>
      <w:numFmt w:val="bullet"/>
      <w:pStyle w:val="Luettelokappale"/>
      <w:lvlText w:val=""/>
      <w:lvlJc w:val="left"/>
      <w:pPr>
        <w:ind w:left="1664" w:hanging="360"/>
      </w:pPr>
      <w:rPr>
        <w:rFonts w:ascii="Symbol" w:hAnsi="Symbol"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5" w15:restartNumberingAfterBreak="0">
    <w:nsid w:val="7A5C692E"/>
    <w:multiLevelType w:val="hybridMultilevel"/>
    <w:tmpl w:val="46D6057A"/>
    <w:lvl w:ilvl="0" w:tplc="7E38C924">
      <w:start w:val="1"/>
      <w:numFmt w:val="decimal"/>
      <w:pStyle w:val="Leipteksti2kappalenumeroilla"/>
      <w:lvlText w:val="%1."/>
      <w:lvlJc w:val="left"/>
      <w:pPr>
        <w:ind w:left="2384" w:hanging="360"/>
      </w:pPr>
      <w:rPr>
        <w:lang w:val="en"/>
      </w:rPr>
    </w:lvl>
    <w:lvl w:ilvl="1" w:tplc="040B0017">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num w:numId="1" w16cid:durableId="1246575443">
    <w:abstractNumId w:val="1"/>
  </w:num>
  <w:num w:numId="2" w16cid:durableId="1267736301">
    <w:abstractNumId w:val="3"/>
  </w:num>
  <w:num w:numId="3" w16cid:durableId="1048258199">
    <w:abstractNumId w:val="0"/>
  </w:num>
  <w:num w:numId="4" w16cid:durableId="515078742">
    <w:abstractNumId w:val="5"/>
  </w:num>
  <w:num w:numId="5" w16cid:durableId="746194282">
    <w:abstractNumId w:val="4"/>
  </w:num>
  <w:num w:numId="6" w16cid:durableId="888808801">
    <w:abstractNumId w:val="2"/>
  </w:num>
  <w:num w:numId="7" w16cid:durableId="16172511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3"/>
    <w:rsid w:val="000002E5"/>
    <w:rsid w:val="00001466"/>
    <w:rsid w:val="000044FB"/>
    <w:rsid w:val="00010583"/>
    <w:rsid w:val="000109B5"/>
    <w:rsid w:val="00010E4B"/>
    <w:rsid w:val="00014C27"/>
    <w:rsid w:val="000163B2"/>
    <w:rsid w:val="000233EC"/>
    <w:rsid w:val="00030723"/>
    <w:rsid w:val="00032373"/>
    <w:rsid w:val="000323DA"/>
    <w:rsid w:val="00034690"/>
    <w:rsid w:val="00036B09"/>
    <w:rsid w:val="0004617B"/>
    <w:rsid w:val="00046797"/>
    <w:rsid w:val="00050081"/>
    <w:rsid w:val="00051B0C"/>
    <w:rsid w:val="00052B04"/>
    <w:rsid w:val="00066836"/>
    <w:rsid w:val="00071895"/>
    <w:rsid w:val="00071DAE"/>
    <w:rsid w:val="00073A81"/>
    <w:rsid w:val="00076972"/>
    <w:rsid w:val="00081EB4"/>
    <w:rsid w:val="00082B68"/>
    <w:rsid w:val="0008321B"/>
    <w:rsid w:val="000847FE"/>
    <w:rsid w:val="00084D7C"/>
    <w:rsid w:val="00085065"/>
    <w:rsid w:val="00087F61"/>
    <w:rsid w:val="00091BDE"/>
    <w:rsid w:val="00092413"/>
    <w:rsid w:val="000A33D8"/>
    <w:rsid w:val="000A67C0"/>
    <w:rsid w:val="000A7429"/>
    <w:rsid w:val="000B45ED"/>
    <w:rsid w:val="000B5782"/>
    <w:rsid w:val="000C2DF9"/>
    <w:rsid w:val="000C2EBF"/>
    <w:rsid w:val="000C61A9"/>
    <w:rsid w:val="000C6D66"/>
    <w:rsid w:val="000E28B6"/>
    <w:rsid w:val="000E7006"/>
    <w:rsid w:val="000E7E09"/>
    <w:rsid w:val="000F260B"/>
    <w:rsid w:val="000F290B"/>
    <w:rsid w:val="000F4B53"/>
    <w:rsid w:val="000F7BDE"/>
    <w:rsid w:val="001048FD"/>
    <w:rsid w:val="001068D2"/>
    <w:rsid w:val="00115DA9"/>
    <w:rsid w:val="001208DD"/>
    <w:rsid w:val="00121DCD"/>
    <w:rsid w:val="00122F1F"/>
    <w:rsid w:val="00130728"/>
    <w:rsid w:val="00137C7F"/>
    <w:rsid w:val="0014526F"/>
    <w:rsid w:val="0014777C"/>
    <w:rsid w:val="00151F2C"/>
    <w:rsid w:val="00154B4A"/>
    <w:rsid w:val="00155F1C"/>
    <w:rsid w:val="001571B7"/>
    <w:rsid w:val="001619D5"/>
    <w:rsid w:val="001619EB"/>
    <w:rsid w:val="0016268E"/>
    <w:rsid w:val="00172FA1"/>
    <w:rsid w:val="0017560E"/>
    <w:rsid w:val="00175A0A"/>
    <w:rsid w:val="00176255"/>
    <w:rsid w:val="0018091E"/>
    <w:rsid w:val="001869F9"/>
    <w:rsid w:val="00192447"/>
    <w:rsid w:val="001A0836"/>
    <w:rsid w:val="001A307E"/>
    <w:rsid w:val="001A42D6"/>
    <w:rsid w:val="001B1F84"/>
    <w:rsid w:val="001B3662"/>
    <w:rsid w:val="001B74A6"/>
    <w:rsid w:val="001C2D3D"/>
    <w:rsid w:val="001C2F58"/>
    <w:rsid w:val="001D03BA"/>
    <w:rsid w:val="001D4A10"/>
    <w:rsid w:val="001E1215"/>
    <w:rsid w:val="001E2D7D"/>
    <w:rsid w:val="001E4E3E"/>
    <w:rsid w:val="001E5981"/>
    <w:rsid w:val="001F41D9"/>
    <w:rsid w:val="001F6DF5"/>
    <w:rsid w:val="00206CA4"/>
    <w:rsid w:val="002124BB"/>
    <w:rsid w:val="00221E01"/>
    <w:rsid w:val="00227A25"/>
    <w:rsid w:val="00233C80"/>
    <w:rsid w:val="002401FE"/>
    <w:rsid w:val="00243AE3"/>
    <w:rsid w:val="00247EC7"/>
    <w:rsid w:val="002501F3"/>
    <w:rsid w:val="002540C2"/>
    <w:rsid w:val="00257E28"/>
    <w:rsid w:val="002611F7"/>
    <w:rsid w:val="0026210A"/>
    <w:rsid w:val="0026367F"/>
    <w:rsid w:val="0026642C"/>
    <w:rsid w:val="002746CC"/>
    <w:rsid w:val="002901AD"/>
    <w:rsid w:val="0029064B"/>
    <w:rsid w:val="00292EFA"/>
    <w:rsid w:val="002A13FE"/>
    <w:rsid w:val="002A339C"/>
    <w:rsid w:val="002A6F52"/>
    <w:rsid w:val="002B644A"/>
    <w:rsid w:val="002B6889"/>
    <w:rsid w:val="002D2438"/>
    <w:rsid w:val="002D4362"/>
    <w:rsid w:val="002D57BD"/>
    <w:rsid w:val="002E1C54"/>
    <w:rsid w:val="002E55E9"/>
    <w:rsid w:val="002F0D7C"/>
    <w:rsid w:val="002F218D"/>
    <w:rsid w:val="002F21D1"/>
    <w:rsid w:val="002F3495"/>
    <w:rsid w:val="00301A09"/>
    <w:rsid w:val="00306278"/>
    <w:rsid w:val="003072CB"/>
    <w:rsid w:val="00307A97"/>
    <w:rsid w:val="003144BF"/>
    <w:rsid w:val="00316928"/>
    <w:rsid w:val="00316CE5"/>
    <w:rsid w:val="00322C19"/>
    <w:rsid w:val="003330E3"/>
    <w:rsid w:val="00334F9D"/>
    <w:rsid w:val="003360D5"/>
    <w:rsid w:val="00336DD7"/>
    <w:rsid w:val="00340431"/>
    <w:rsid w:val="00340FE5"/>
    <w:rsid w:val="00343E2C"/>
    <w:rsid w:val="003442D2"/>
    <w:rsid w:val="003447CC"/>
    <w:rsid w:val="00344D8B"/>
    <w:rsid w:val="0034550B"/>
    <w:rsid w:val="00345FD4"/>
    <w:rsid w:val="003477E7"/>
    <w:rsid w:val="00356A2F"/>
    <w:rsid w:val="0036331D"/>
    <w:rsid w:val="003652E1"/>
    <w:rsid w:val="003767C2"/>
    <w:rsid w:val="003776E9"/>
    <w:rsid w:val="00382E0C"/>
    <w:rsid w:val="00391307"/>
    <w:rsid w:val="0039397B"/>
    <w:rsid w:val="00394117"/>
    <w:rsid w:val="003A1BB3"/>
    <w:rsid w:val="003A1C6D"/>
    <w:rsid w:val="003A578C"/>
    <w:rsid w:val="003A59C8"/>
    <w:rsid w:val="003A766F"/>
    <w:rsid w:val="003B000D"/>
    <w:rsid w:val="003B4D87"/>
    <w:rsid w:val="003B4DF9"/>
    <w:rsid w:val="003C3078"/>
    <w:rsid w:val="003C5EF4"/>
    <w:rsid w:val="003C6D03"/>
    <w:rsid w:val="003D2645"/>
    <w:rsid w:val="003D6C07"/>
    <w:rsid w:val="003D79A6"/>
    <w:rsid w:val="003E4123"/>
    <w:rsid w:val="003E474E"/>
    <w:rsid w:val="003E6109"/>
    <w:rsid w:val="003F0859"/>
    <w:rsid w:val="00403E3A"/>
    <w:rsid w:val="004057B3"/>
    <w:rsid w:val="00410D6A"/>
    <w:rsid w:val="0041173C"/>
    <w:rsid w:val="0041292E"/>
    <w:rsid w:val="00413F1A"/>
    <w:rsid w:val="004178E1"/>
    <w:rsid w:val="00417D74"/>
    <w:rsid w:val="00420AF7"/>
    <w:rsid w:val="00420BB2"/>
    <w:rsid w:val="00423731"/>
    <w:rsid w:val="00430756"/>
    <w:rsid w:val="004308DE"/>
    <w:rsid w:val="00431510"/>
    <w:rsid w:val="004331A2"/>
    <w:rsid w:val="00435EDE"/>
    <w:rsid w:val="004367C6"/>
    <w:rsid w:val="00440FCE"/>
    <w:rsid w:val="00442D7B"/>
    <w:rsid w:val="0044518F"/>
    <w:rsid w:val="0045047A"/>
    <w:rsid w:val="004526C9"/>
    <w:rsid w:val="00453D63"/>
    <w:rsid w:val="00453E04"/>
    <w:rsid w:val="0045464F"/>
    <w:rsid w:val="00456FF2"/>
    <w:rsid w:val="0046053F"/>
    <w:rsid w:val="00464C0A"/>
    <w:rsid w:val="00466513"/>
    <w:rsid w:val="004671E3"/>
    <w:rsid w:val="004801FA"/>
    <w:rsid w:val="00481DAC"/>
    <w:rsid w:val="004836B2"/>
    <w:rsid w:val="00484456"/>
    <w:rsid w:val="004878A4"/>
    <w:rsid w:val="00490319"/>
    <w:rsid w:val="00490B20"/>
    <w:rsid w:val="004A2B92"/>
    <w:rsid w:val="004A7C16"/>
    <w:rsid w:val="004B0468"/>
    <w:rsid w:val="004C0D4F"/>
    <w:rsid w:val="004C146F"/>
    <w:rsid w:val="004C2D6A"/>
    <w:rsid w:val="004C4FF4"/>
    <w:rsid w:val="004D1313"/>
    <w:rsid w:val="004D3E48"/>
    <w:rsid w:val="004E1EEB"/>
    <w:rsid w:val="004E3905"/>
    <w:rsid w:val="004E44BE"/>
    <w:rsid w:val="004F6FE1"/>
    <w:rsid w:val="004F7B27"/>
    <w:rsid w:val="004F7F3C"/>
    <w:rsid w:val="005145EC"/>
    <w:rsid w:val="005175D8"/>
    <w:rsid w:val="0052075B"/>
    <w:rsid w:val="00530F9C"/>
    <w:rsid w:val="00531416"/>
    <w:rsid w:val="0053367F"/>
    <w:rsid w:val="00535968"/>
    <w:rsid w:val="00537A5C"/>
    <w:rsid w:val="0054379D"/>
    <w:rsid w:val="005440C8"/>
    <w:rsid w:val="00544359"/>
    <w:rsid w:val="005449DE"/>
    <w:rsid w:val="00545919"/>
    <w:rsid w:val="00552081"/>
    <w:rsid w:val="00552373"/>
    <w:rsid w:val="00553706"/>
    <w:rsid w:val="00561353"/>
    <w:rsid w:val="00563020"/>
    <w:rsid w:val="0056375F"/>
    <w:rsid w:val="00575C4B"/>
    <w:rsid w:val="00581608"/>
    <w:rsid w:val="00582001"/>
    <w:rsid w:val="00585905"/>
    <w:rsid w:val="0059320F"/>
    <w:rsid w:val="00595A08"/>
    <w:rsid w:val="00596E46"/>
    <w:rsid w:val="00597BD0"/>
    <w:rsid w:val="005A3234"/>
    <w:rsid w:val="005A3471"/>
    <w:rsid w:val="005A3E6C"/>
    <w:rsid w:val="005A463C"/>
    <w:rsid w:val="005A52DF"/>
    <w:rsid w:val="005A6B42"/>
    <w:rsid w:val="005A6E5A"/>
    <w:rsid w:val="005A75D9"/>
    <w:rsid w:val="005C08A1"/>
    <w:rsid w:val="005C59E3"/>
    <w:rsid w:val="005C66C6"/>
    <w:rsid w:val="005D306F"/>
    <w:rsid w:val="005D5D46"/>
    <w:rsid w:val="005D750D"/>
    <w:rsid w:val="005E0814"/>
    <w:rsid w:val="005E0899"/>
    <w:rsid w:val="005E14AD"/>
    <w:rsid w:val="005E374A"/>
    <w:rsid w:val="005E75EC"/>
    <w:rsid w:val="005F0296"/>
    <w:rsid w:val="005F114D"/>
    <w:rsid w:val="005F1A2C"/>
    <w:rsid w:val="005F70BC"/>
    <w:rsid w:val="005F74DF"/>
    <w:rsid w:val="00603489"/>
    <w:rsid w:val="00607C22"/>
    <w:rsid w:val="00611F96"/>
    <w:rsid w:val="006130F6"/>
    <w:rsid w:val="00615FED"/>
    <w:rsid w:val="006231BE"/>
    <w:rsid w:val="006241D2"/>
    <w:rsid w:val="006254FA"/>
    <w:rsid w:val="00625D9E"/>
    <w:rsid w:val="00630165"/>
    <w:rsid w:val="006305A1"/>
    <w:rsid w:val="00632AAC"/>
    <w:rsid w:val="00635038"/>
    <w:rsid w:val="0063586F"/>
    <w:rsid w:val="00635D47"/>
    <w:rsid w:val="0063712D"/>
    <w:rsid w:val="00641A57"/>
    <w:rsid w:val="00642577"/>
    <w:rsid w:val="00642D17"/>
    <w:rsid w:val="006528DB"/>
    <w:rsid w:val="006639F4"/>
    <w:rsid w:val="006725A6"/>
    <w:rsid w:val="00673CAE"/>
    <w:rsid w:val="00677B3E"/>
    <w:rsid w:val="00677DB0"/>
    <w:rsid w:val="00682582"/>
    <w:rsid w:val="00684E79"/>
    <w:rsid w:val="006854B9"/>
    <w:rsid w:val="0068711A"/>
    <w:rsid w:val="0069181A"/>
    <w:rsid w:val="006924DB"/>
    <w:rsid w:val="00693FCF"/>
    <w:rsid w:val="006972FF"/>
    <w:rsid w:val="00697CCE"/>
    <w:rsid w:val="006A019C"/>
    <w:rsid w:val="006A65BE"/>
    <w:rsid w:val="006B029A"/>
    <w:rsid w:val="006B0A41"/>
    <w:rsid w:val="006B76D2"/>
    <w:rsid w:val="006C6A05"/>
    <w:rsid w:val="006E1F74"/>
    <w:rsid w:val="006E4B08"/>
    <w:rsid w:val="006E7214"/>
    <w:rsid w:val="006F074A"/>
    <w:rsid w:val="006F0D6D"/>
    <w:rsid w:val="006F5221"/>
    <w:rsid w:val="00703616"/>
    <w:rsid w:val="007042EF"/>
    <w:rsid w:val="00706BA7"/>
    <w:rsid w:val="00710394"/>
    <w:rsid w:val="00712760"/>
    <w:rsid w:val="00716B82"/>
    <w:rsid w:val="00720224"/>
    <w:rsid w:val="00721771"/>
    <w:rsid w:val="0072632E"/>
    <w:rsid w:val="007311CD"/>
    <w:rsid w:val="00731F40"/>
    <w:rsid w:val="0073677B"/>
    <w:rsid w:val="00742896"/>
    <w:rsid w:val="00750BDB"/>
    <w:rsid w:val="00752133"/>
    <w:rsid w:val="00752C38"/>
    <w:rsid w:val="00756145"/>
    <w:rsid w:val="00760088"/>
    <w:rsid w:val="0076235F"/>
    <w:rsid w:val="007638FA"/>
    <w:rsid w:val="00764BE2"/>
    <w:rsid w:val="00781E10"/>
    <w:rsid w:val="00784C9F"/>
    <w:rsid w:val="00791F98"/>
    <w:rsid w:val="00794538"/>
    <w:rsid w:val="00794A5B"/>
    <w:rsid w:val="007A44F2"/>
    <w:rsid w:val="007B3497"/>
    <w:rsid w:val="007B7048"/>
    <w:rsid w:val="007D233B"/>
    <w:rsid w:val="007E2A6F"/>
    <w:rsid w:val="007E4666"/>
    <w:rsid w:val="007E50DF"/>
    <w:rsid w:val="007F0A0C"/>
    <w:rsid w:val="007F5A24"/>
    <w:rsid w:val="007F733A"/>
    <w:rsid w:val="00805DE6"/>
    <w:rsid w:val="00806413"/>
    <w:rsid w:val="00806989"/>
    <w:rsid w:val="00812F41"/>
    <w:rsid w:val="00814F8B"/>
    <w:rsid w:val="00816C40"/>
    <w:rsid w:val="008307B9"/>
    <w:rsid w:val="0083208A"/>
    <w:rsid w:val="00840FD2"/>
    <w:rsid w:val="008420A6"/>
    <w:rsid w:val="00844B1A"/>
    <w:rsid w:val="008507D5"/>
    <w:rsid w:val="00851B4A"/>
    <w:rsid w:val="0085665F"/>
    <w:rsid w:val="00856A5F"/>
    <w:rsid w:val="00857F05"/>
    <w:rsid w:val="00864012"/>
    <w:rsid w:val="008716C8"/>
    <w:rsid w:val="00871C37"/>
    <w:rsid w:val="008819C0"/>
    <w:rsid w:val="00890318"/>
    <w:rsid w:val="008979D5"/>
    <w:rsid w:val="008A2DEF"/>
    <w:rsid w:val="008A2E5C"/>
    <w:rsid w:val="008A432C"/>
    <w:rsid w:val="008A46BD"/>
    <w:rsid w:val="008A4963"/>
    <w:rsid w:val="008A544F"/>
    <w:rsid w:val="008B43B9"/>
    <w:rsid w:val="008B470A"/>
    <w:rsid w:val="008B709F"/>
    <w:rsid w:val="008C2D1A"/>
    <w:rsid w:val="008C41E7"/>
    <w:rsid w:val="008D31EE"/>
    <w:rsid w:val="008E597C"/>
    <w:rsid w:val="008F036E"/>
    <w:rsid w:val="008F1FCD"/>
    <w:rsid w:val="008F3A39"/>
    <w:rsid w:val="008F49B6"/>
    <w:rsid w:val="008F743D"/>
    <w:rsid w:val="008F7634"/>
    <w:rsid w:val="00901B51"/>
    <w:rsid w:val="00903BF3"/>
    <w:rsid w:val="00904F99"/>
    <w:rsid w:val="00907B5B"/>
    <w:rsid w:val="009143F2"/>
    <w:rsid w:val="00931C51"/>
    <w:rsid w:val="00933347"/>
    <w:rsid w:val="009356C4"/>
    <w:rsid w:val="00936A49"/>
    <w:rsid w:val="00942BAC"/>
    <w:rsid w:val="0094772A"/>
    <w:rsid w:val="0096178A"/>
    <w:rsid w:val="00965FD1"/>
    <w:rsid w:val="00966023"/>
    <w:rsid w:val="009661F3"/>
    <w:rsid w:val="00967AA0"/>
    <w:rsid w:val="00973074"/>
    <w:rsid w:val="0098301F"/>
    <w:rsid w:val="009837AB"/>
    <w:rsid w:val="0098699D"/>
    <w:rsid w:val="0099030E"/>
    <w:rsid w:val="0099033E"/>
    <w:rsid w:val="00994901"/>
    <w:rsid w:val="009A3A3A"/>
    <w:rsid w:val="009C0181"/>
    <w:rsid w:val="009C2091"/>
    <w:rsid w:val="009C2113"/>
    <w:rsid w:val="009C309F"/>
    <w:rsid w:val="009C44F7"/>
    <w:rsid w:val="009D3C0E"/>
    <w:rsid w:val="009D4404"/>
    <w:rsid w:val="009E0AA3"/>
    <w:rsid w:val="009E427E"/>
    <w:rsid w:val="009E4C93"/>
    <w:rsid w:val="009E7D0E"/>
    <w:rsid w:val="009F6F48"/>
    <w:rsid w:val="009F779C"/>
    <w:rsid w:val="00A01B35"/>
    <w:rsid w:val="00A0358B"/>
    <w:rsid w:val="00A071B5"/>
    <w:rsid w:val="00A1065A"/>
    <w:rsid w:val="00A22C5E"/>
    <w:rsid w:val="00A2680B"/>
    <w:rsid w:val="00A2727D"/>
    <w:rsid w:val="00A2792E"/>
    <w:rsid w:val="00A31652"/>
    <w:rsid w:val="00A34744"/>
    <w:rsid w:val="00A34BFD"/>
    <w:rsid w:val="00A4291B"/>
    <w:rsid w:val="00A44EF2"/>
    <w:rsid w:val="00A451A7"/>
    <w:rsid w:val="00A457F0"/>
    <w:rsid w:val="00A47706"/>
    <w:rsid w:val="00A52E1A"/>
    <w:rsid w:val="00A5371D"/>
    <w:rsid w:val="00A55DEE"/>
    <w:rsid w:val="00A55FC4"/>
    <w:rsid w:val="00A62BD2"/>
    <w:rsid w:val="00A63814"/>
    <w:rsid w:val="00A66425"/>
    <w:rsid w:val="00A73255"/>
    <w:rsid w:val="00A73CC8"/>
    <w:rsid w:val="00A751DD"/>
    <w:rsid w:val="00A84593"/>
    <w:rsid w:val="00A9106D"/>
    <w:rsid w:val="00A931B9"/>
    <w:rsid w:val="00A93D07"/>
    <w:rsid w:val="00A96C5F"/>
    <w:rsid w:val="00A96EB4"/>
    <w:rsid w:val="00AA04D9"/>
    <w:rsid w:val="00AA25D7"/>
    <w:rsid w:val="00AC3BCB"/>
    <w:rsid w:val="00AC5213"/>
    <w:rsid w:val="00AC67A2"/>
    <w:rsid w:val="00AC78E1"/>
    <w:rsid w:val="00AD076F"/>
    <w:rsid w:val="00AD485B"/>
    <w:rsid w:val="00AE394F"/>
    <w:rsid w:val="00AE3FA2"/>
    <w:rsid w:val="00AF020F"/>
    <w:rsid w:val="00AF50C7"/>
    <w:rsid w:val="00AF5791"/>
    <w:rsid w:val="00AF78F7"/>
    <w:rsid w:val="00B05E26"/>
    <w:rsid w:val="00B114F9"/>
    <w:rsid w:val="00B15DAC"/>
    <w:rsid w:val="00B16459"/>
    <w:rsid w:val="00B22ABE"/>
    <w:rsid w:val="00B23CA6"/>
    <w:rsid w:val="00B23EC3"/>
    <w:rsid w:val="00B23F06"/>
    <w:rsid w:val="00B24A3B"/>
    <w:rsid w:val="00B30B84"/>
    <w:rsid w:val="00B3447D"/>
    <w:rsid w:val="00B360F9"/>
    <w:rsid w:val="00B40727"/>
    <w:rsid w:val="00B418E2"/>
    <w:rsid w:val="00B41F02"/>
    <w:rsid w:val="00B42343"/>
    <w:rsid w:val="00B4273F"/>
    <w:rsid w:val="00B45359"/>
    <w:rsid w:val="00B47A6C"/>
    <w:rsid w:val="00B52BA6"/>
    <w:rsid w:val="00B57845"/>
    <w:rsid w:val="00B62143"/>
    <w:rsid w:val="00B6270A"/>
    <w:rsid w:val="00B70330"/>
    <w:rsid w:val="00B70DC3"/>
    <w:rsid w:val="00B7273B"/>
    <w:rsid w:val="00B8328A"/>
    <w:rsid w:val="00B87916"/>
    <w:rsid w:val="00B90C1E"/>
    <w:rsid w:val="00B92C55"/>
    <w:rsid w:val="00BA0173"/>
    <w:rsid w:val="00BA2034"/>
    <w:rsid w:val="00BA5D7E"/>
    <w:rsid w:val="00BA7624"/>
    <w:rsid w:val="00BB2C9E"/>
    <w:rsid w:val="00BB3348"/>
    <w:rsid w:val="00BB7944"/>
    <w:rsid w:val="00BC04ED"/>
    <w:rsid w:val="00BC050F"/>
    <w:rsid w:val="00BC0F48"/>
    <w:rsid w:val="00BC51D4"/>
    <w:rsid w:val="00BC54C5"/>
    <w:rsid w:val="00BD2724"/>
    <w:rsid w:val="00BD3E41"/>
    <w:rsid w:val="00BD677F"/>
    <w:rsid w:val="00BD68B7"/>
    <w:rsid w:val="00BE0314"/>
    <w:rsid w:val="00BE291D"/>
    <w:rsid w:val="00BE2C0A"/>
    <w:rsid w:val="00BF4A3A"/>
    <w:rsid w:val="00BF5145"/>
    <w:rsid w:val="00BF5B53"/>
    <w:rsid w:val="00C02664"/>
    <w:rsid w:val="00C0430F"/>
    <w:rsid w:val="00C04617"/>
    <w:rsid w:val="00C0560E"/>
    <w:rsid w:val="00C0784C"/>
    <w:rsid w:val="00C10E4E"/>
    <w:rsid w:val="00C11EEF"/>
    <w:rsid w:val="00C12D08"/>
    <w:rsid w:val="00C13C15"/>
    <w:rsid w:val="00C17051"/>
    <w:rsid w:val="00C22749"/>
    <w:rsid w:val="00C27F63"/>
    <w:rsid w:val="00C31C28"/>
    <w:rsid w:val="00C33D06"/>
    <w:rsid w:val="00C377A4"/>
    <w:rsid w:val="00C50E20"/>
    <w:rsid w:val="00C533DE"/>
    <w:rsid w:val="00C544CF"/>
    <w:rsid w:val="00C545B5"/>
    <w:rsid w:val="00C55B43"/>
    <w:rsid w:val="00C6040C"/>
    <w:rsid w:val="00C61743"/>
    <w:rsid w:val="00C82B7A"/>
    <w:rsid w:val="00C8520E"/>
    <w:rsid w:val="00C90A5D"/>
    <w:rsid w:val="00C921E1"/>
    <w:rsid w:val="00C934FD"/>
    <w:rsid w:val="00C95D72"/>
    <w:rsid w:val="00C96855"/>
    <w:rsid w:val="00CA0EED"/>
    <w:rsid w:val="00CA38E5"/>
    <w:rsid w:val="00CB1638"/>
    <w:rsid w:val="00CB5AB4"/>
    <w:rsid w:val="00CB7592"/>
    <w:rsid w:val="00CB767E"/>
    <w:rsid w:val="00CC16F0"/>
    <w:rsid w:val="00CC5857"/>
    <w:rsid w:val="00CC71F4"/>
    <w:rsid w:val="00CD1928"/>
    <w:rsid w:val="00CD2189"/>
    <w:rsid w:val="00CD2D42"/>
    <w:rsid w:val="00CD364D"/>
    <w:rsid w:val="00CE183D"/>
    <w:rsid w:val="00CE1D29"/>
    <w:rsid w:val="00CE2011"/>
    <w:rsid w:val="00CE57B8"/>
    <w:rsid w:val="00CF4DC3"/>
    <w:rsid w:val="00CF6A87"/>
    <w:rsid w:val="00D0144C"/>
    <w:rsid w:val="00D05665"/>
    <w:rsid w:val="00D110B1"/>
    <w:rsid w:val="00D11CE6"/>
    <w:rsid w:val="00D169E4"/>
    <w:rsid w:val="00D25924"/>
    <w:rsid w:val="00D30443"/>
    <w:rsid w:val="00D321AF"/>
    <w:rsid w:val="00D32D9E"/>
    <w:rsid w:val="00D355D5"/>
    <w:rsid w:val="00D36FB9"/>
    <w:rsid w:val="00D37D90"/>
    <w:rsid w:val="00D45C89"/>
    <w:rsid w:val="00D51160"/>
    <w:rsid w:val="00D539CD"/>
    <w:rsid w:val="00D60EF9"/>
    <w:rsid w:val="00D61A5D"/>
    <w:rsid w:val="00D62909"/>
    <w:rsid w:val="00D7569E"/>
    <w:rsid w:val="00D83375"/>
    <w:rsid w:val="00D92A69"/>
    <w:rsid w:val="00D9372F"/>
    <w:rsid w:val="00D952B6"/>
    <w:rsid w:val="00D95615"/>
    <w:rsid w:val="00DA0AEF"/>
    <w:rsid w:val="00DB2A97"/>
    <w:rsid w:val="00DB4C94"/>
    <w:rsid w:val="00DC0839"/>
    <w:rsid w:val="00DC7DA1"/>
    <w:rsid w:val="00DD1539"/>
    <w:rsid w:val="00DD66CD"/>
    <w:rsid w:val="00DE1DE0"/>
    <w:rsid w:val="00DF02B8"/>
    <w:rsid w:val="00E01C5E"/>
    <w:rsid w:val="00E2174E"/>
    <w:rsid w:val="00E23659"/>
    <w:rsid w:val="00E25E06"/>
    <w:rsid w:val="00E26DDE"/>
    <w:rsid w:val="00E34F69"/>
    <w:rsid w:val="00E3653D"/>
    <w:rsid w:val="00E36872"/>
    <w:rsid w:val="00E37CDF"/>
    <w:rsid w:val="00E43264"/>
    <w:rsid w:val="00E47EB5"/>
    <w:rsid w:val="00E47EF5"/>
    <w:rsid w:val="00E52335"/>
    <w:rsid w:val="00E561F4"/>
    <w:rsid w:val="00E62426"/>
    <w:rsid w:val="00E62FC9"/>
    <w:rsid w:val="00E65446"/>
    <w:rsid w:val="00E70085"/>
    <w:rsid w:val="00E731B0"/>
    <w:rsid w:val="00E73E30"/>
    <w:rsid w:val="00E75465"/>
    <w:rsid w:val="00E8455B"/>
    <w:rsid w:val="00E87A8C"/>
    <w:rsid w:val="00E91120"/>
    <w:rsid w:val="00E94594"/>
    <w:rsid w:val="00E94A8C"/>
    <w:rsid w:val="00E96007"/>
    <w:rsid w:val="00EB299E"/>
    <w:rsid w:val="00EC25F7"/>
    <w:rsid w:val="00EC26F9"/>
    <w:rsid w:val="00EC43EB"/>
    <w:rsid w:val="00ED1731"/>
    <w:rsid w:val="00ED1FA9"/>
    <w:rsid w:val="00ED4CA9"/>
    <w:rsid w:val="00ED5A07"/>
    <w:rsid w:val="00EE3E96"/>
    <w:rsid w:val="00EE43FB"/>
    <w:rsid w:val="00EE547C"/>
    <w:rsid w:val="00EE68DB"/>
    <w:rsid w:val="00EF1989"/>
    <w:rsid w:val="00EF2EAF"/>
    <w:rsid w:val="00EF3758"/>
    <w:rsid w:val="00EF7681"/>
    <w:rsid w:val="00F0198B"/>
    <w:rsid w:val="00F05F83"/>
    <w:rsid w:val="00F14DD2"/>
    <w:rsid w:val="00F17108"/>
    <w:rsid w:val="00F26435"/>
    <w:rsid w:val="00F32ED6"/>
    <w:rsid w:val="00F339EF"/>
    <w:rsid w:val="00F3559E"/>
    <w:rsid w:val="00F37979"/>
    <w:rsid w:val="00F40CD5"/>
    <w:rsid w:val="00F4345B"/>
    <w:rsid w:val="00F450AF"/>
    <w:rsid w:val="00F4589D"/>
    <w:rsid w:val="00F53E27"/>
    <w:rsid w:val="00F55F08"/>
    <w:rsid w:val="00F57B91"/>
    <w:rsid w:val="00F614CB"/>
    <w:rsid w:val="00F62756"/>
    <w:rsid w:val="00F6576D"/>
    <w:rsid w:val="00F8145D"/>
    <w:rsid w:val="00F842B5"/>
    <w:rsid w:val="00FA3824"/>
    <w:rsid w:val="00FA50B3"/>
    <w:rsid w:val="00FA7FC4"/>
    <w:rsid w:val="00FB125D"/>
    <w:rsid w:val="00FB3EFD"/>
    <w:rsid w:val="00FB5933"/>
    <w:rsid w:val="00FB615D"/>
    <w:rsid w:val="00FC25BA"/>
    <w:rsid w:val="00FD5D1C"/>
    <w:rsid w:val="00FE4F92"/>
    <w:rsid w:val="00FF418C"/>
    <w:rsid w:val="00FF60EB"/>
    <w:rsid w:val="00FF6F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2A63B"/>
  <w15:docId w15:val="{AF8716F8-03AB-49A9-8B34-1013F4E5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75C4B"/>
    <w:rPr>
      <w:rFonts w:ascii="Source Sans Pro" w:hAnsi="Source Sans Pro"/>
      <w:sz w:val="24"/>
      <w:lang w:val="en-GB"/>
    </w:rPr>
  </w:style>
  <w:style w:type="paragraph" w:styleId="Otsikko1">
    <w:name w:val="heading 1"/>
    <w:basedOn w:val="Normaali"/>
    <w:next w:val="Normaali"/>
    <w:link w:val="Otsikko1Char"/>
    <w:uiPriority w:val="9"/>
    <w:qFormat/>
    <w:rsid w:val="00B05E26"/>
    <w:pPr>
      <w:keepNext/>
      <w:keepLines/>
      <w:spacing w:before="240" w:after="0" w:line="240" w:lineRule="auto"/>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autoRedefine/>
    <w:uiPriority w:val="9"/>
    <w:unhideWhenUsed/>
    <w:qFormat/>
    <w:rsid w:val="003F0859"/>
    <w:pPr>
      <w:keepNext/>
      <w:keepLines/>
      <w:spacing w:before="40" w:after="120"/>
      <w:outlineLvl w:val="1"/>
    </w:pPr>
    <w:rPr>
      <w:rFonts w:eastAsiaTheme="majorEastAsia" w:cstheme="majorBidi"/>
      <w:b/>
      <w:color w:val="000000" w:themeColor="text1"/>
      <w:szCs w:val="24"/>
    </w:rPr>
  </w:style>
  <w:style w:type="paragraph" w:styleId="Otsikko3">
    <w:name w:val="heading 3"/>
    <w:basedOn w:val="Normaali"/>
    <w:next w:val="Normaali"/>
    <w:link w:val="Otsikko3Char"/>
    <w:uiPriority w:val="9"/>
    <w:unhideWhenUsed/>
    <w:rsid w:val="00B23F06"/>
    <w:pPr>
      <w:keepNext/>
      <w:keepLines/>
      <w:numPr>
        <w:numId w:val="3"/>
      </w:numPr>
      <w:spacing w:before="40" w:after="0"/>
      <w:outlineLvl w:val="2"/>
    </w:pPr>
    <w:rPr>
      <w:rFonts w:asciiTheme="majorHAnsi" w:eastAsiaTheme="majorEastAsia" w:hAnsiTheme="majorHAnsi" w:cstheme="majorBidi"/>
      <w:color w:val="003F54" w:themeColor="accent1" w:themeShade="7F"/>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638F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638FA"/>
  </w:style>
  <w:style w:type="paragraph" w:styleId="Alatunniste">
    <w:name w:val="footer"/>
    <w:basedOn w:val="Normaali"/>
    <w:link w:val="AlatunnisteChar"/>
    <w:uiPriority w:val="99"/>
    <w:unhideWhenUsed/>
    <w:rsid w:val="007638F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638FA"/>
  </w:style>
  <w:style w:type="table" w:customStyle="1" w:styleId="Eireunaviivaa">
    <w:name w:val="Ei reunaviivaa"/>
    <w:basedOn w:val="Normaalitaulukko"/>
    <w:uiPriority w:val="99"/>
    <w:rsid w:val="007638FA"/>
    <w:pPr>
      <w:spacing w:after="0" w:line="240" w:lineRule="auto"/>
    </w:pPr>
    <w:rPr>
      <w:rFonts w:ascii="Times New Roman" w:eastAsia="Times New Roman" w:hAnsi="Times New Roman" w:cs="Times New Roman"/>
      <w:sz w:val="24"/>
      <w:szCs w:val="24"/>
    </w:rPr>
    <w:tblPr/>
  </w:style>
  <w:style w:type="character" w:styleId="Paikkamerkkiteksti">
    <w:name w:val="Placeholder Text"/>
    <w:basedOn w:val="Kappaleenoletusfontti"/>
    <w:uiPriority w:val="99"/>
    <w:semiHidden/>
    <w:rsid w:val="002E55E9"/>
    <w:rPr>
      <w:color w:val="808080"/>
    </w:rPr>
  </w:style>
  <w:style w:type="paragraph" w:styleId="Seliteteksti">
    <w:name w:val="Balloon Text"/>
    <w:basedOn w:val="Normaali"/>
    <w:link w:val="SelitetekstiChar"/>
    <w:uiPriority w:val="99"/>
    <w:semiHidden/>
    <w:unhideWhenUsed/>
    <w:rsid w:val="002E55E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E55E9"/>
    <w:rPr>
      <w:rFonts w:ascii="Tahoma" w:hAnsi="Tahoma" w:cs="Tahoma"/>
      <w:sz w:val="16"/>
      <w:szCs w:val="16"/>
    </w:rPr>
  </w:style>
  <w:style w:type="paragraph" w:styleId="Otsikko">
    <w:name w:val="Title"/>
    <w:basedOn w:val="Normaali"/>
    <w:next w:val="Leipteksti"/>
    <w:link w:val="OtsikkoChar"/>
    <w:uiPriority w:val="10"/>
    <w:qFormat/>
    <w:rsid w:val="00AF5791"/>
    <w:pPr>
      <w:spacing w:after="240" w:line="240" w:lineRule="auto"/>
      <w:ind w:right="2835"/>
      <w:contextualSpacing/>
    </w:pPr>
    <w:rPr>
      <w:rFonts w:eastAsia="Times New Roman" w:cs="Times New Roman"/>
      <w:b/>
      <w:kern w:val="28"/>
      <w:szCs w:val="52"/>
    </w:rPr>
  </w:style>
  <w:style w:type="character" w:customStyle="1" w:styleId="OtsikkoChar">
    <w:name w:val="Otsikko Char"/>
    <w:basedOn w:val="Kappaleenoletusfontti"/>
    <w:link w:val="Otsikko"/>
    <w:uiPriority w:val="10"/>
    <w:rsid w:val="00AF5791"/>
    <w:rPr>
      <w:rFonts w:ascii="Source Sans Pro" w:eastAsia="Times New Roman" w:hAnsi="Source Sans Pro" w:cs="Times New Roman"/>
      <w:b/>
      <w:kern w:val="28"/>
      <w:sz w:val="24"/>
      <w:szCs w:val="52"/>
    </w:rPr>
  </w:style>
  <w:style w:type="paragraph" w:styleId="Leipteksti">
    <w:name w:val="Body Text"/>
    <w:basedOn w:val="Normaali"/>
    <w:link w:val="LeiptekstiChar"/>
    <w:uiPriority w:val="99"/>
    <w:semiHidden/>
    <w:unhideWhenUsed/>
    <w:rsid w:val="00DD66CD"/>
    <w:pPr>
      <w:spacing w:after="120"/>
    </w:pPr>
  </w:style>
  <w:style w:type="character" w:customStyle="1" w:styleId="LeiptekstiChar">
    <w:name w:val="Leipäteksti Char"/>
    <w:basedOn w:val="Kappaleenoletusfontti"/>
    <w:link w:val="Leipteksti"/>
    <w:uiPriority w:val="99"/>
    <w:semiHidden/>
    <w:rsid w:val="00DD66CD"/>
  </w:style>
  <w:style w:type="character" w:customStyle="1" w:styleId="Otsikko1Char">
    <w:name w:val="Otsikko 1 Char"/>
    <w:basedOn w:val="Kappaleenoletusfontti"/>
    <w:link w:val="Otsikko1"/>
    <w:uiPriority w:val="9"/>
    <w:rsid w:val="00B05E26"/>
    <w:rPr>
      <w:rFonts w:ascii="Source Sans Pro" w:eastAsiaTheme="majorEastAsia" w:hAnsi="Source Sans Pro" w:cstheme="majorBidi"/>
      <w:b/>
      <w:color w:val="000000" w:themeColor="text1"/>
      <w:sz w:val="32"/>
      <w:szCs w:val="32"/>
      <w:lang w:val="en-GB"/>
    </w:rPr>
  </w:style>
  <w:style w:type="character" w:customStyle="1" w:styleId="Otsikko2Char">
    <w:name w:val="Otsikko 2 Char"/>
    <w:basedOn w:val="Kappaleenoletusfontti"/>
    <w:link w:val="Otsikko2"/>
    <w:uiPriority w:val="9"/>
    <w:rsid w:val="003F0859"/>
    <w:rPr>
      <w:rFonts w:ascii="Source Sans Pro" w:eastAsiaTheme="majorEastAsia" w:hAnsi="Source Sans Pro" w:cstheme="majorBidi"/>
      <w:b/>
      <w:color w:val="000000" w:themeColor="text1"/>
      <w:sz w:val="24"/>
      <w:szCs w:val="24"/>
      <w:lang w:val="en-GB"/>
    </w:rPr>
  </w:style>
  <w:style w:type="character" w:styleId="Korostus">
    <w:name w:val="Emphasis"/>
    <w:basedOn w:val="Kappaleenoletusfontti"/>
    <w:uiPriority w:val="20"/>
    <w:qFormat/>
    <w:rsid w:val="00AF5791"/>
    <w:rPr>
      <w:rFonts w:ascii="Source Sans Pro" w:hAnsi="Source Sans Pro"/>
      <w:i/>
      <w:iCs/>
    </w:rPr>
  </w:style>
  <w:style w:type="character" w:styleId="Hyperlinkki">
    <w:name w:val="Hyperlink"/>
    <w:basedOn w:val="Kappaleenoletusfontti"/>
    <w:uiPriority w:val="99"/>
    <w:unhideWhenUsed/>
    <w:rsid w:val="001C2F58"/>
    <w:rPr>
      <w:color w:val="0000FF" w:themeColor="hyperlink"/>
      <w:u w:val="single"/>
    </w:rPr>
  </w:style>
  <w:style w:type="character" w:styleId="Ratkaisematonmaininta">
    <w:name w:val="Unresolved Mention"/>
    <w:basedOn w:val="Kappaleenoletusfontti"/>
    <w:uiPriority w:val="99"/>
    <w:semiHidden/>
    <w:unhideWhenUsed/>
    <w:rsid w:val="001C2F58"/>
    <w:rPr>
      <w:color w:val="605E5C"/>
      <w:shd w:val="clear" w:color="auto" w:fill="E1DFDD"/>
    </w:rPr>
  </w:style>
  <w:style w:type="paragraph" w:styleId="Luettelokappale">
    <w:name w:val="List Paragraph"/>
    <w:basedOn w:val="Leipteksti2kappalenumeroilla"/>
    <w:link w:val="LuettelokappaleChar"/>
    <w:uiPriority w:val="34"/>
    <w:qFormat/>
    <w:rsid w:val="00CE183D"/>
    <w:pPr>
      <w:numPr>
        <w:numId w:val="5"/>
      </w:numPr>
    </w:pPr>
  </w:style>
  <w:style w:type="numbering" w:customStyle="1" w:styleId="Tyyli1">
    <w:name w:val="Tyyli1"/>
    <w:uiPriority w:val="99"/>
    <w:rsid w:val="00085065"/>
    <w:pPr>
      <w:numPr>
        <w:numId w:val="1"/>
      </w:numPr>
    </w:pPr>
  </w:style>
  <w:style w:type="paragraph" w:customStyle="1" w:styleId="Otsikko30">
    <w:name w:val="Otsikko3"/>
    <w:basedOn w:val="Luettelokappale"/>
    <w:link w:val="Otsikko3Char0"/>
    <w:qFormat/>
    <w:rsid w:val="00BB3348"/>
    <w:pPr>
      <w:numPr>
        <w:numId w:val="2"/>
      </w:numPr>
    </w:pPr>
  </w:style>
  <w:style w:type="paragraph" w:styleId="Alaviitteenteksti">
    <w:name w:val="footnote text"/>
    <w:basedOn w:val="Normaali"/>
    <w:link w:val="AlaviitteentekstiChar"/>
    <w:uiPriority w:val="99"/>
    <w:unhideWhenUsed/>
    <w:rsid w:val="00466513"/>
    <w:pPr>
      <w:spacing w:after="0" w:line="240" w:lineRule="auto"/>
    </w:pPr>
    <w:rPr>
      <w:sz w:val="20"/>
      <w:szCs w:val="20"/>
    </w:rPr>
  </w:style>
  <w:style w:type="character" w:customStyle="1" w:styleId="LuettelokappaleChar">
    <w:name w:val="Luettelokappale Char"/>
    <w:basedOn w:val="Kappaleenoletusfontti"/>
    <w:link w:val="Luettelokappale"/>
    <w:uiPriority w:val="34"/>
    <w:rsid w:val="00CE183D"/>
    <w:rPr>
      <w:rFonts w:cstheme="minorHAnsi"/>
      <w:sz w:val="24"/>
      <w:szCs w:val="24"/>
      <w:lang w:val="en-GB"/>
    </w:rPr>
  </w:style>
  <w:style w:type="character" w:customStyle="1" w:styleId="Otsikko3Char0">
    <w:name w:val="Otsikko3 Char"/>
    <w:basedOn w:val="LuettelokappaleChar"/>
    <w:link w:val="Otsikko30"/>
    <w:rsid w:val="00BB3348"/>
    <w:rPr>
      <w:rFonts w:cstheme="minorHAnsi"/>
      <w:sz w:val="24"/>
      <w:szCs w:val="24"/>
      <w:lang w:val="en-GB"/>
    </w:rPr>
  </w:style>
  <w:style w:type="character" w:customStyle="1" w:styleId="AlaviitteentekstiChar">
    <w:name w:val="Alaviitteen teksti Char"/>
    <w:basedOn w:val="Kappaleenoletusfontti"/>
    <w:link w:val="Alaviitteenteksti"/>
    <w:uiPriority w:val="99"/>
    <w:rsid w:val="00466513"/>
    <w:rPr>
      <w:rFonts w:ascii="Source Sans Pro" w:hAnsi="Source Sans Pro"/>
      <w:sz w:val="20"/>
      <w:szCs w:val="20"/>
      <w:lang w:val="en-GB"/>
    </w:rPr>
  </w:style>
  <w:style w:type="character" w:styleId="Alaviitteenviite">
    <w:name w:val="footnote reference"/>
    <w:basedOn w:val="Kappaleenoletusfontti"/>
    <w:uiPriority w:val="99"/>
    <w:semiHidden/>
    <w:unhideWhenUsed/>
    <w:rsid w:val="00466513"/>
    <w:rPr>
      <w:vertAlign w:val="superscript"/>
    </w:rPr>
  </w:style>
  <w:style w:type="paragraph" w:customStyle="1" w:styleId="Otsikko4">
    <w:name w:val="Otsikko4"/>
    <w:basedOn w:val="Otsikko30"/>
    <w:link w:val="Otsikko4Char"/>
    <w:qFormat/>
    <w:rsid w:val="00750BDB"/>
    <w:pPr>
      <w:numPr>
        <w:numId w:val="0"/>
      </w:numPr>
    </w:pPr>
  </w:style>
  <w:style w:type="character" w:customStyle="1" w:styleId="Otsikko4Char">
    <w:name w:val="Otsikko4 Char"/>
    <w:basedOn w:val="Otsikko3Char0"/>
    <w:link w:val="Otsikko4"/>
    <w:rsid w:val="00750BDB"/>
    <w:rPr>
      <w:rFonts w:ascii="Source Sans Pro" w:hAnsi="Source Sans Pro" w:cstheme="minorHAnsi"/>
      <w:sz w:val="24"/>
      <w:szCs w:val="24"/>
      <w:lang w:val="en-GB"/>
    </w:rPr>
  </w:style>
  <w:style w:type="character" w:styleId="Kommentinviite">
    <w:name w:val="annotation reference"/>
    <w:basedOn w:val="Kappaleenoletusfontti"/>
    <w:uiPriority w:val="99"/>
    <w:semiHidden/>
    <w:unhideWhenUsed/>
    <w:rsid w:val="003C5EF4"/>
    <w:rPr>
      <w:sz w:val="16"/>
      <w:szCs w:val="16"/>
    </w:rPr>
  </w:style>
  <w:style w:type="paragraph" w:styleId="Kommentinteksti">
    <w:name w:val="annotation text"/>
    <w:basedOn w:val="Normaali"/>
    <w:link w:val="KommentintekstiChar"/>
    <w:uiPriority w:val="99"/>
    <w:unhideWhenUsed/>
    <w:rsid w:val="003C5EF4"/>
    <w:pPr>
      <w:spacing w:line="240" w:lineRule="auto"/>
    </w:pPr>
    <w:rPr>
      <w:sz w:val="20"/>
      <w:szCs w:val="20"/>
    </w:rPr>
  </w:style>
  <w:style w:type="character" w:customStyle="1" w:styleId="KommentintekstiChar">
    <w:name w:val="Kommentin teksti Char"/>
    <w:basedOn w:val="Kappaleenoletusfontti"/>
    <w:link w:val="Kommentinteksti"/>
    <w:uiPriority w:val="99"/>
    <w:rsid w:val="003C5EF4"/>
    <w:rPr>
      <w:rFonts w:ascii="Source Sans Pro" w:hAnsi="Source Sans Pro"/>
      <w:sz w:val="20"/>
      <w:szCs w:val="20"/>
      <w:lang w:val="en-GB"/>
    </w:rPr>
  </w:style>
  <w:style w:type="paragraph" w:styleId="Kommentinotsikko">
    <w:name w:val="annotation subject"/>
    <w:basedOn w:val="Kommentinteksti"/>
    <w:next w:val="Kommentinteksti"/>
    <w:link w:val="KommentinotsikkoChar"/>
    <w:uiPriority w:val="99"/>
    <w:semiHidden/>
    <w:unhideWhenUsed/>
    <w:rsid w:val="003C5EF4"/>
    <w:rPr>
      <w:b/>
      <w:bCs/>
    </w:rPr>
  </w:style>
  <w:style w:type="character" w:customStyle="1" w:styleId="KommentinotsikkoChar">
    <w:name w:val="Kommentin otsikko Char"/>
    <w:basedOn w:val="KommentintekstiChar"/>
    <w:link w:val="Kommentinotsikko"/>
    <w:uiPriority w:val="99"/>
    <w:semiHidden/>
    <w:rsid w:val="003C5EF4"/>
    <w:rPr>
      <w:rFonts w:ascii="Source Sans Pro" w:hAnsi="Source Sans Pro"/>
      <w:b/>
      <w:bCs/>
      <w:sz w:val="20"/>
      <w:szCs w:val="20"/>
      <w:lang w:val="en-GB"/>
    </w:rPr>
  </w:style>
  <w:style w:type="paragraph" w:customStyle="1" w:styleId="Leipteksti2kappalenumeroilla">
    <w:name w:val="Leipäteksti2 kappalenumeroilla"/>
    <w:basedOn w:val="Normaali"/>
    <w:link w:val="Leipteksti2kappalenumeroillaChar"/>
    <w:autoRedefine/>
    <w:qFormat/>
    <w:rsid w:val="0026367F"/>
    <w:pPr>
      <w:numPr>
        <w:numId w:val="4"/>
      </w:numPr>
      <w:spacing w:after="0"/>
      <w:ind w:left="357" w:hanging="357"/>
    </w:pPr>
    <w:rPr>
      <w:rFonts w:asciiTheme="minorHAnsi" w:hAnsiTheme="minorHAnsi" w:cstheme="minorHAnsi"/>
      <w:szCs w:val="24"/>
    </w:rPr>
  </w:style>
  <w:style w:type="paragraph" w:customStyle="1" w:styleId="Default">
    <w:name w:val="Default"/>
    <w:link w:val="DefaultChar"/>
    <w:rsid w:val="00484456"/>
    <w:pPr>
      <w:autoSpaceDE w:val="0"/>
      <w:autoSpaceDN w:val="0"/>
      <w:adjustRightInd w:val="0"/>
      <w:spacing w:after="0" w:line="240" w:lineRule="auto"/>
    </w:pPr>
    <w:rPr>
      <w:rFonts w:ascii="Arial" w:hAnsi="Arial" w:cs="Arial"/>
      <w:color w:val="000000"/>
      <w:sz w:val="24"/>
      <w:szCs w:val="24"/>
    </w:rPr>
  </w:style>
  <w:style w:type="character" w:customStyle="1" w:styleId="Leipteksti2kappalenumeroillaChar">
    <w:name w:val="Leipäteksti2 kappalenumeroilla Char"/>
    <w:basedOn w:val="Kappaleenoletusfontti"/>
    <w:link w:val="Leipteksti2kappalenumeroilla"/>
    <w:rsid w:val="0026367F"/>
    <w:rPr>
      <w:rFonts w:cstheme="minorHAnsi"/>
      <w:sz w:val="24"/>
      <w:szCs w:val="24"/>
      <w:lang w:val="en-GB"/>
    </w:rPr>
  </w:style>
  <w:style w:type="character" w:customStyle="1" w:styleId="DefaultChar">
    <w:name w:val="Default Char"/>
    <w:basedOn w:val="Kappaleenoletusfontti"/>
    <w:link w:val="Default"/>
    <w:rsid w:val="00484456"/>
    <w:rPr>
      <w:rFonts w:ascii="Arial" w:hAnsi="Arial" w:cs="Arial"/>
      <w:color w:val="000000"/>
      <w:sz w:val="24"/>
      <w:szCs w:val="24"/>
    </w:rPr>
  </w:style>
  <w:style w:type="paragraph" w:styleId="Sisllysluettelonotsikko">
    <w:name w:val="TOC Heading"/>
    <w:basedOn w:val="Otsikko1"/>
    <w:next w:val="Normaali"/>
    <w:uiPriority w:val="39"/>
    <w:unhideWhenUsed/>
    <w:qFormat/>
    <w:rsid w:val="00693FCF"/>
    <w:pPr>
      <w:spacing w:line="259" w:lineRule="auto"/>
      <w:outlineLvl w:val="9"/>
    </w:pPr>
    <w:rPr>
      <w:rFonts w:asciiTheme="majorHAnsi" w:hAnsiTheme="majorHAnsi"/>
      <w:b w:val="0"/>
      <w:color w:val="005E7F" w:themeColor="accent1" w:themeShade="BF"/>
      <w:lang w:val="fi-FI" w:eastAsia="fi-FI"/>
    </w:rPr>
  </w:style>
  <w:style w:type="paragraph" w:styleId="Sisluet1">
    <w:name w:val="toc 1"/>
    <w:basedOn w:val="Normaali"/>
    <w:next w:val="Normaali"/>
    <w:autoRedefine/>
    <w:uiPriority w:val="39"/>
    <w:unhideWhenUsed/>
    <w:rsid w:val="00693FCF"/>
    <w:pPr>
      <w:spacing w:after="100"/>
    </w:pPr>
  </w:style>
  <w:style w:type="paragraph" w:styleId="Sisluet2">
    <w:name w:val="toc 2"/>
    <w:basedOn w:val="Normaali"/>
    <w:next w:val="Normaali"/>
    <w:autoRedefine/>
    <w:uiPriority w:val="39"/>
    <w:unhideWhenUsed/>
    <w:rsid w:val="00693FCF"/>
    <w:pPr>
      <w:spacing w:after="100"/>
      <w:ind w:left="220"/>
    </w:pPr>
  </w:style>
  <w:style w:type="character" w:customStyle="1" w:styleId="Otsikko3Char">
    <w:name w:val="Otsikko 3 Char"/>
    <w:basedOn w:val="Kappaleenoletusfontti"/>
    <w:link w:val="Otsikko3"/>
    <w:uiPriority w:val="9"/>
    <w:rsid w:val="00B23F06"/>
    <w:rPr>
      <w:rFonts w:asciiTheme="majorHAnsi" w:eastAsiaTheme="majorEastAsia" w:hAnsiTheme="majorHAnsi" w:cstheme="majorBidi"/>
      <w:color w:val="003F54" w:themeColor="accent1" w:themeShade="7F"/>
      <w:sz w:val="24"/>
      <w:szCs w:val="24"/>
      <w:lang w:val="en-GB"/>
    </w:rPr>
  </w:style>
  <w:style w:type="paragraph" w:styleId="Eivli">
    <w:name w:val="No Spacing"/>
    <w:aliases w:val="Lainatekstiä muualta"/>
    <w:uiPriority w:val="1"/>
    <w:qFormat/>
    <w:rsid w:val="00115DA9"/>
    <w:pPr>
      <w:spacing w:after="0" w:line="240" w:lineRule="auto"/>
    </w:pPr>
    <w:rPr>
      <w:rFonts w:ascii="Source Sans Pro" w:hAnsi="Source Sans Pro"/>
      <w:sz w:val="20"/>
      <w:lang w:val="en-GB"/>
    </w:rPr>
  </w:style>
  <w:style w:type="paragraph" w:styleId="Loppuviitteenteksti">
    <w:name w:val="endnote text"/>
    <w:basedOn w:val="Normaali"/>
    <w:link w:val="LoppuviitteentekstiChar"/>
    <w:uiPriority w:val="99"/>
    <w:semiHidden/>
    <w:unhideWhenUsed/>
    <w:rsid w:val="00B360F9"/>
    <w:pPr>
      <w:spacing w:after="0" w:line="240" w:lineRule="auto"/>
    </w:pPr>
    <w:rPr>
      <w:rFonts w:asciiTheme="minorHAnsi" w:hAnsiTheme="minorHAnsi"/>
      <w:sz w:val="20"/>
      <w:szCs w:val="20"/>
      <w:lang w:val="fi-FI"/>
    </w:rPr>
  </w:style>
  <w:style w:type="character" w:customStyle="1" w:styleId="LoppuviitteentekstiChar">
    <w:name w:val="Loppuviitteen teksti Char"/>
    <w:basedOn w:val="Kappaleenoletusfontti"/>
    <w:link w:val="Loppuviitteenteksti"/>
    <w:uiPriority w:val="99"/>
    <w:semiHidden/>
    <w:rsid w:val="00B360F9"/>
    <w:rPr>
      <w:sz w:val="20"/>
      <w:szCs w:val="20"/>
    </w:rPr>
  </w:style>
  <w:style w:type="character" w:styleId="Loppuviitteenviite">
    <w:name w:val="endnote reference"/>
    <w:basedOn w:val="Kappaleenoletusfontti"/>
    <w:uiPriority w:val="99"/>
    <w:semiHidden/>
    <w:unhideWhenUsed/>
    <w:rsid w:val="00B360F9"/>
    <w:rPr>
      <w:vertAlign w:val="superscript"/>
    </w:rPr>
  </w:style>
  <w:style w:type="paragraph" w:customStyle="1" w:styleId="Para">
    <w:name w:val="Para"/>
    <w:basedOn w:val="Normaali"/>
    <w:link w:val="ParaChar"/>
    <w:uiPriority w:val="4"/>
    <w:qFormat/>
    <w:rsid w:val="00417D74"/>
    <w:pPr>
      <w:spacing w:before="120" w:after="120" w:line="240" w:lineRule="auto"/>
      <w:ind w:left="680" w:right="680"/>
      <w:jc w:val="both"/>
    </w:pPr>
    <w:rPr>
      <w:rFonts w:ascii="Times New Roman" w:hAnsi="Times New Roman"/>
      <w:sz w:val="22"/>
      <w:lang w:val="en-US"/>
    </w:rPr>
  </w:style>
  <w:style w:type="character" w:customStyle="1" w:styleId="ParaChar">
    <w:name w:val="Para Char"/>
    <w:basedOn w:val="Kappaleenoletusfontti"/>
    <w:link w:val="Para"/>
    <w:uiPriority w:val="4"/>
    <w:rsid w:val="00417D74"/>
    <w:rPr>
      <w:rFonts w:ascii="Times New Roman" w:hAnsi="Times New Roman"/>
      <w:lang w:val="en-US"/>
    </w:rPr>
  </w:style>
  <w:style w:type="paragraph" w:styleId="NormaaliWWW">
    <w:name w:val="Normal (Web)"/>
    <w:basedOn w:val="Normaali"/>
    <w:uiPriority w:val="99"/>
    <w:semiHidden/>
    <w:unhideWhenUsed/>
    <w:rsid w:val="00BF5145"/>
    <w:pPr>
      <w:spacing w:before="100" w:beforeAutospacing="1" w:after="100" w:afterAutospacing="1" w:line="240" w:lineRule="auto"/>
    </w:pPr>
    <w:rPr>
      <w:rFonts w:ascii="Times New Roman" w:eastAsia="Times New Roman" w:hAnsi="Times New Roman" w:cs="Times New Roman"/>
      <w:szCs w:val="24"/>
      <w:lang w:val="fi-FI" w:eastAsia="fi-FI"/>
    </w:rPr>
  </w:style>
  <w:style w:type="paragraph" w:styleId="HTML-esimuotoiltu">
    <w:name w:val="HTML Preformatted"/>
    <w:basedOn w:val="Normaali"/>
    <w:link w:val="HTML-esimuotoiltuChar"/>
    <w:uiPriority w:val="99"/>
    <w:semiHidden/>
    <w:unhideWhenUsed/>
    <w:rsid w:val="001C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i-FI" w:eastAsia="fi-FI"/>
    </w:rPr>
  </w:style>
  <w:style w:type="character" w:customStyle="1" w:styleId="HTML-esimuotoiltuChar">
    <w:name w:val="HTML-esimuotoiltu Char"/>
    <w:basedOn w:val="Kappaleenoletusfontti"/>
    <w:link w:val="HTML-esimuotoiltu"/>
    <w:uiPriority w:val="99"/>
    <w:semiHidden/>
    <w:rsid w:val="001C2D3D"/>
    <w:rPr>
      <w:rFonts w:ascii="Courier New" w:eastAsia="Times New Roman" w:hAnsi="Courier New" w:cs="Courier New"/>
      <w:sz w:val="20"/>
      <w:szCs w:val="20"/>
      <w:lang w:eastAsia="fi-FI"/>
    </w:rPr>
  </w:style>
  <w:style w:type="character" w:customStyle="1" w:styleId="y2iqfc">
    <w:name w:val="y2iqfc"/>
    <w:basedOn w:val="Kappaleenoletusfontti"/>
    <w:rsid w:val="001C2D3D"/>
  </w:style>
  <w:style w:type="character" w:styleId="AvattuHyperlinkki">
    <w:name w:val="FollowedHyperlink"/>
    <w:basedOn w:val="Kappaleenoletusfontti"/>
    <w:uiPriority w:val="99"/>
    <w:semiHidden/>
    <w:unhideWhenUsed/>
    <w:rsid w:val="00AD4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811">
      <w:bodyDiv w:val="1"/>
      <w:marLeft w:val="0"/>
      <w:marRight w:val="0"/>
      <w:marTop w:val="0"/>
      <w:marBottom w:val="0"/>
      <w:divBdr>
        <w:top w:val="none" w:sz="0" w:space="0" w:color="auto"/>
        <w:left w:val="none" w:sz="0" w:space="0" w:color="auto"/>
        <w:bottom w:val="none" w:sz="0" w:space="0" w:color="auto"/>
        <w:right w:val="none" w:sz="0" w:space="0" w:color="auto"/>
      </w:divBdr>
    </w:div>
    <w:div w:id="82991399">
      <w:bodyDiv w:val="1"/>
      <w:marLeft w:val="0"/>
      <w:marRight w:val="0"/>
      <w:marTop w:val="0"/>
      <w:marBottom w:val="0"/>
      <w:divBdr>
        <w:top w:val="none" w:sz="0" w:space="0" w:color="auto"/>
        <w:left w:val="none" w:sz="0" w:space="0" w:color="auto"/>
        <w:bottom w:val="none" w:sz="0" w:space="0" w:color="auto"/>
        <w:right w:val="none" w:sz="0" w:space="0" w:color="auto"/>
      </w:divBdr>
    </w:div>
    <w:div w:id="193230183">
      <w:bodyDiv w:val="1"/>
      <w:marLeft w:val="0"/>
      <w:marRight w:val="0"/>
      <w:marTop w:val="0"/>
      <w:marBottom w:val="0"/>
      <w:divBdr>
        <w:top w:val="none" w:sz="0" w:space="0" w:color="auto"/>
        <w:left w:val="none" w:sz="0" w:space="0" w:color="auto"/>
        <w:bottom w:val="none" w:sz="0" w:space="0" w:color="auto"/>
        <w:right w:val="none" w:sz="0" w:space="0" w:color="auto"/>
      </w:divBdr>
    </w:div>
    <w:div w:id="271791153">
      <w:bodyDiv w:val="1"/>
      <w:marLeft w:val="0"/>
      <w:marRight w:val="0"/>
      <w:marTop w:val="0"/>
      <w:marBottom w:val="0"/>
      <w:divBdr>
        <w:top w:val="none" w:sz="0" w:space="0" w:color="auto"/>
        <w:left w:val="none" w:sz="0" w:space="0" w:color="auto"/>
        <w:bottom w:val="none" w:sz="0" w:space="0" w:color="auto"/>
        <w:right w:val="none" w:sz="0" w:space="0" w:color="auto"/>
      </w:divBdr>
    </w:div>
    <w:div w:id="350305853">
      <w:bodyDiv w:val="1"/>
      <w:marLeft w:val="0"/>
      <w:marRight w:val="0"/>
      <w:marTop w:val="0"/>
      <w:marBottom w:val="0"/>
      <w:divBdr>
        <w:top w:val="none" w:sz="0" w:space="0" w:color="auto"/>
        <w:left w:val="none" w:sz="0" w:space="0" w:color="auto"/>
        <w:bottom w:val="none" w:sz="0" w:space="0" w:color="auto"/>
        <w:right w:val="none" w:sz="0" w:space="0" w:color="auto"/>
      </w:divBdr>
    </w:div>
    <w:div w:id="536747175">
      <w:bodyDiv w:val="1"/>
      <w:marLeft w:val="0"/>
      <w:marRight w:val="0"/>
      <w:marTop w:val="0"/>
      <w:marBottom w:val="0"/>
      <w:divBdr>
        <w:top w:val="none" w:sz="0" w:space="0" w:color="auto"/>
        <w:left w:val="none" w:sz="0" w:space="0" w:color="auto"/>
        <w:bottom w:val="none" w:sz="0" w:space="0" w:color="auto"/>
        <w:right w:val="none" w:sz="0" w:space="0" w:color="auto"/>
      </w:divBdr>
    </w:div>
    <w:div w:id="583103436">
      <w:bodyDiv w:val="1"/>
      <w:marLeft w:val="0"/>
      <w:marRight w:val="0"/>
      <w:marTop w:val="0"/>
      <w:marBottom w:val="0"/>
      <w:divBdr>
        <w:top w:val="none" w:sz="0" w:space="0" w:color="auto"/>
        <w:left w:val="none" w:sz="0" w:space="0" w:color="auto"/>
        <w:bottom w:val="none" w:sz="0" w:space="0" w:color="auto"/>
        <w:right w:val="none" w:sz="0" w:space="0" w:color="auto"/>
      </w:divBdr>
    </w:div>
    <w:div w:id="667052044">
      <w:bodyDiv w:val="1"/>
      <w:marLeft w:val="0"/>
      <w:marRight w:val="0"/>
      <w:marTop w:val="0"/>
      <w:marBottom w:val="0"/>
      <w:divBdr>
        <w:top w:val="none" w:sz="0" w:space="0" w:color="auto"/>
        <w:left w:val="none" w:sz="0" w:space="0" w:color="auto"/>
        <w:bottom w:val="none" w:sz="0" w:space="0" w:color="auto"/>
        <w:right w:val="none" w:sz="0" w:space="0" w:color="auto"/>
      </w:divBdr>
    </w:div>
    <w:div w:id="729115595">
      <w:bodyDiv w:val="1"/>
      <w:marLeft w:val="0"/>
      <w:marRight w:val="0"/>
      <w:marTop w:val="0"/>
      <w:marBottom w:val="0"/>
      <w:divBdr>
        <w:top w:val="none" w:sz="0" w:space="0" w:color="auto"/>
        <w:left w:val="none" w:sz="0" w:space="0" w:color="auto"/>
        <w:bottom w:val="none" w:sz="0" w:space="0" w:color="auto"/>
        <w:right w:val="none" w:sz="0" w:space="0" w:color="auto"/>
      </w:divBdr>
    </w:div>
    <w:div w:id="983777588">
      <w:bodyDiv w:val="1"/>
      <w:marLeft w:val="0"/>
      <w:marRight w:val="0"/>
      <w:marTop w:val="0"/>
      <w:marBottom w:val="0"/>
      <w:divBdr>
        <w:top w:val="none" w:sz="0" w:space="0" w:color="auto"/>
        <w:left w:val="none" w:sz="0" w:space="0" w:color="auto"/>
        <w:bottom w:val="none" w:sz="0" w:space="0" w:color="auto"/>
        <w:right w:val="none" w:sz="0" w:space="0" w:color="auto"/>
      </w:divBdr>
    </w:div>
    <w:div w:id="1111437695">
      <w:bodyDiv w:val="1"/>
      <w:marLeft w:val="0"/>
      <w:marRight w:val="0"/>
      <w:marTop w:val="0"/>
      <w:marBottom w:val="0"/>
      <w:divBdr>
        <w:top w:val="none" w:sz="0" w:space="0" w:color="auto"/>
        <w:left w:val="none" w:sz="0" w:space="0" w:color="auto"/>
        <w:bottom w:val="none" w:sz="0" w:space="0" w:color="auto"/>
        <w:right w:val="none" w:sz="0" w:space="0" w:color="auto"/>
      </w:divBdr>
    </w:div>
    <w:div w:id="1232539950">
      <w:bodyDiv w:val="1"/>
      <w:marLeft w:val="0"/>
      <w:marRight w:val="0"/>
      <w:marTop w:val="0"/>
      <w:marBottom w:val="0"/>
      <w:divBdr>
        <w:top w:val="none" w:sz="0" w:space="0" w:color="auto"/>
        <w:left w:val="none" w:sz="0" w:space="0" w:color="auto"/>
        <w:bottom w:val="none" w:sz="0" w:space="0" w:color="auto"/>
        <w:right w:val="none" w:sz="0" w:space="0" w:color="auto"/>
      </w:divBdr>
    </w:div>
    <w:div w:id="1273823604">
      <w:bodyDiv w:val="1"/>
      <w:marLeft w:val="0"/>
      <w:marRight w:val="0"/>
      <w:marTop w:val="0"/>
      <w:marBottom w:val="0"/>
      <w:divBdr>
        <w:top w:val="none" w:sz="0" w:space="0" w:color="auto"/>
        <w:left w:val="none" w:sz="0" w:space="0" w:color="auto"/>
        <w:bottom w:val="none" w:sz="0" w:space="0" w:color="auto"/>
        <w:right w:val="none" w:sz="0" w:space="0" w:color="auto"/>
      </w:divBdr>
    </w:div>
    <w:div w:id="1315716255">
      <w:bodyDiv w:val="1"/>
      <w:marLeft w:val="0"/>
      <w:marRight w:val="0"/>
      <w:marTop w:val="0"/>
      <w:marBottom w:val="0"/>
      <w:divBdr>
        <w:top w:val="none" w:sz="0" w:space="0" w:color="auto"/>
        <w:left w:val="none" w:sz="0" w:space="0" w:color="auto"/>
        <w:bottom w:val="none" w:sz="0" w:space="0" w:color="auto"/>
        <w:right w:val="none" w:sz="0" w:space="0" w:color="auto"/>
      </w:divBdr>
    </w:div>
    <w:div w:id="1318534277">
      <w:bodyDiv w:val="1"/>
      <w:marLeft w:val="0"/>
      <w:marRight w:val="0"/>
      <w:marTop w:val="0"/>
      <w:marBottom w:val="0"/>
      <w:divBdr>
        <w:top w:val="none" w:sz="0" w:space="0" w:color="auto"/>
        <w:left w:val="none" w:sz="0" w:space="0" w:color="auto"/>
        <w:bottom w:val="none" w:sz="0" w:space="0" w:color="auto"/>
        <w:right w:val="none" w:sz="0" w:space="0" w:color="auto"/>
      </w:divBdr>
    </w:div>
    <w:div w:id="1320619356">
      <w:bodyDiv w:val="1"/>
      <w:marLeft w:val="0"/>
      <w:marRight w:val="0"/>
      <w:marTop w:val="0"/>
      <w:marBottom w:val="0"/>
      <w:divBdr>
        <w:top w:val="none" w:sz="0" w:space="0" w:color="auto"/>
        <w:left w:val="none" w:sz="0" w:space="0" w:color="auto"/>
        <w:bottom w:val="none" w:sz="0" w:space="0" w:color="auto"/>
        <w:right w:val="none" w:sz="0" w:space="0" w:color="auto"/>
      </w:divBdr>
    </w:div>
    <w:div w:id="1357540082">
      <w:bodyDiv w:val="1"/>
      <w:marLeft w:val="0"/>
      <w:marRight w:val="0"/>
      <w:marTop w:val="0"/>
      <w:marBottom w:val="0"/>
      <w:divBdr>
        <w:top w:val="none" w:sz="0" w:space="0" w:color="auto"/>
        <w:left w:val="none" w:sz="0" w:space="0" w:color="auto"/>
        <w:bottom w:val="none" w:sz="0" w:space="0" w:color="auto"/>
        <w:right w:val="none" w:sz="0" w:space="0" w:color="auto"/>
      </w:divBdr>
      <w:divsChild>
        <w:div w:id="2110732680">
          <w:marLeft w:val="0"/>
          <w:marRight w:val="0"/>
          <w:marTop w:val="0"/>
          <w:marBottom w:val="0"/>
          <w:divBdr>
            <w:top w:val="none" w:sz="0" w:space="0" w:color="auto"/>
            <w:left w:val="none" w:sz="0" w:space="0" w:color="auto"/>
            <w:bottom w:val="none" w:sz="0" w:space="0" w:color="auto"/>
            <w:right w:val="none" w:sz="0" w:space="0" w:color="auto"/>
          </w:divBdr>
        </w:div>
        <w:div w:id="1426805381">
          <w:marLeft w:val="0"/>
          <w:marRight w:val="0"/>
          <w:marTop w:val="0"/>
          <w:marBottom w:val="0"/>
          <w:divBdr>
            <w:top w:val="none" w:sz="0" w:space="0" w:color="auto"/>
            <w:left w:val="none" w:sz="0" w:space="0" w:color="auto"/>
            <w:bottom w:val="none" w:sz="0" w:space="0" w:color="auto"/>
            <w:right w:val="none" w:sz="0" w:space="0" w:color="auto"/>
          </w:divBdr>
          <w:divsChild>
            <w:div w:id="838736927">
              <w:marLeft w:val="0"/>
              <w:marRight w:val="0"/>
              <w:marTop w:val="0"/>
              <w:marBottom w:val="0"/>
              <w:divBdr>
                <w:top w:val="none" w:sz="0" w:space="0" w:color="auto"/>
                <w:left w:val="none" w:sz="0" w:space="0" w:color="auto"/>
                <w:bottom w:val="none" w:sz="0" w:space="0" w:color="auto"/>
                <w:right w:val="none" w:sz="0" w:space="0" w:color="auto"/>
              </w:divBdr>
              <w:divsChild>
                <w:div w:id="481897339">
                  <w:marLeft w:val="1125"/>
                  <w:marRight w:val="0"/>
                  <w:marTop w:val="0"/>
                  <w:marBottom w:val="0"/>
                  <w:divBdr>
                    <w:top w:val="none" w:sz="0" w:space="0" w:color="auto"/>
                    <w:left w:val="none" w:sz="0" w:space="0" w:color="auto"/>
                    <w:bottom w:val="none" w:sz="0" w:space="0" w:color="auto"/>
                    <w:right w:val="none" w:sz="0" w:space="0" w:color="auto"/>
                  </w:divBdr>
                  <w:divsChild>
                    <w:div w:id="1458645449">
                      <w:marLeft w:val="0"/>
                      <w:marRight w:val="0"/>
                      <w:marTop w:val="0"/>
                      <w:marBottom w:val="0"/>
                      <w:divBdr>
                        <w:top w:val="none" w:sz="0" w:space="0" w:color="auto"/>
                        <w:left w:val="none" w:sz="0" w:space="0" w:color="auto"/>
                        <w:bottom w:val="none" w:sz="0" w:space="0" w:color="auto"/>
                        <w:right w:val="none" w:sz="0" w:space="0" w:color="auto"/>
                      </w:divBdr>
                      <w:divsChild>
                        <w:div w:id="1850564003">
                          <w:marLeft w:val="0"/>
                          <w:marRight w:val="0"/>
                          <w:marTop w:val="0"/>
                          <w:marBottom w:val="0"/>
                          <w:divBdr>
                            <w:top w:val="none" w:sz="0" w:space="0" w:color="auto"/>
                            <w:left w:val="none" w:sz="0" w:space="0" w:color="auto"/>
                            <w:bottom w:val="none" w:sz="0" w:space="0" w:color="auto"/>
                            <w:right w:val="none" w:sz="0" w:space="0" w:color="auto"/>
                          </w:divBdr>
                          <w:divsChild>
                            <w:div w:id="6688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8592">
      <w:bodyDiv w:val="1"/>
      <w:marLeft w:val="0"/>
      <w:marRight w:val="0"/>
      <w:marTop w:val="0"/>
      <w:marBottom w:val="0"/>
      <w:divBdr>
        <w:top w:val="none" w:sz="0" w:space="0" w:color="auto"/>
        <w:left w:val="none" w:sz="0" w:space="0" w:color="auto"/>
        <w:bottom w:val="none" w:sz="0" w:space="0" w:color="auto"/>
        <w:right w:val="none" w:sz="0" w:space="0" w:color="auto"/>
      </w:divBdr>
    </w:div>
    <w:div w:id="1379861531">
      <w:bodyDiv w:val="1"/>
      <w:marLeft w:val="0"/>
      <w:marRight w:val="0"/>
      <w:marTop w:val="0"/>
      <w:marBottom w:val="0"/>
      <w:divBdr>
        <w:top w:val="none" w:sz="0" w:space="0" w:color="auto"/>
        <w:left w:val="none" w:sz="0" w:space="0" w:color="auto"/>
        <w:bottom w:val="none" w:sz="0" w:space="0" w:color="auto"/>
        <w:right w:val="none" w:sz="0" w:space="0" w:color="auto"/>
      </w:divBdr>
    </w:div>
    <w:div w:id="1445879016">
      <w:bodyDiv w:val="1"/>
      <w:marLeft w:val="0"/>
      <w:marRight w:val="0"/>
      <w:marTop w:val="0"/>
      <w:marBottom w:val="0"/>
      <w:divBdr>
        <w:top w:val="none" w:sz="0" w:space="0" w:color="auto"/>
        <w:left w:val="none" w:sz="0" w:space="0" w:color="auto"/>
        <w:bottom w:val="none" w:sz="0" w:space="0" w:color="auto"/>
        <w:right w:val="none" w:sz="0" w:space="0" w:color="auto"/>
      </w:divBdr>
    </w:div>
    <w:div w:id="1486781728">
      <w:bodyDiv w:val="1"/>
      <w:marLeft w:val="0"/>
      <w:marRight w:val="0"/>
      <w:marTop w:val="0"/>
      <w:marBottom w:val="0"/>
      <w:divBdr>
        <w:top w:val="none" w:sz="0" w:space="0" w:color="auto"/>
        <w:left w:val="none" w:sz="0" w:space="0" w:color="auto"/>
        <w:bottom w:val="none" w:sz="0" w:space="0" w:color="auto"/>
        <w:right w:val="none" w:sz="0" w:space="0" w:color="auto"/>
      </w:divBdr>
    </w:div>
    <w:div w:id="1500317059">
      <w:bodyDiv w:val="1"/>
      <w:marLeft w:val="0"/>
      <w:marRight w:val="0"/>
      <w:marTop w:val="0"/>
      <w:marBottom w:val="0"/>
      <w:divBdr>
        <w:top w:val="none" w:sz="0" w:space="0" w:color="auto"/>
        <w:left w:val="none" w:sz="0" w:space="0" w:color="auto"/>
        <w:bottom w:val="none" w:sz="0" w:space="0" w:color="auto"/>
        <w:right w:val="none" w:sz="0" w:space="0" w:color="auto"/>
      </w:divBdr>
      <w:divsChild>
        <w:div w:id="379131066">
          <w:marLeft w:val="0"/>
          <w:marRight w:val="0"/>
          <w:marTop w:val="1500"/>
          <w:marBottom w:val="1500"/>
          <w:divBdr>
            <w:top w:val="none" w:sz="0" w:space="0" w:color="auto"/>
            <w:left w:val="none" w:sz="0" w:space="0" w:color="auto"/>
            <w:bottom w:val="none" w:sz="0" w:space="0" w:color="auto"/>
            <w:right w:val="none" w:sz="0" w:space="0" w:color="auto"/>
          </w:divBdr>
          <w:divsChild>
            <w:div w:id="1952936964">
              <w:marLeft w:val="0"/>
              <w:marRight w:val="0"/>
              <w:marTop w:val="0"/>
              <w:marBottom w:val="300"/>
              <w:divBdr>
                <w:top w:val="none" w:sz="0" w:space="0" w:color="auto"/>
                <w:left w:val="none" w:sz="0" w:space="0" w:color="auto"/>
                <w:bottom w:val="none" w:sz="0" w:space="0" w:color="auto"/>
                <w:right w:val="none" w:sz="0" w:space="0" w:color="auto"/>
              </w:divBdr>
            </w:div>
            <w:div w:id="16526377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23470211">
      <w:bodyDiv w:val="1"/>
      <w:marLeft w:val="0"/>
      <w:marRight w:val="0"/>
      <w:marTop w:val="0"/>
      <w:marBottom w:val="0"/>
      <w:divBdr>
        <w:top w:val="none" w:sz="0" w:space="0" w:color="auto"/>
        <w:left w:val="none" w:sz="0" w:space="0" w:color="auto"/>
        <w:bottom w:val="none" w:sz="0" w:space="0" w:color="auto"/>
        <w:right w:val="none" w:sz="0" w:space="0" w:color="auto"/>
      </w:divBdr>
      <w:divsChild>
        <w:div w:id="1599025935">
          <w:marLeft w:val="446"/>
          <w:marRight w:val="0"/>
          <w:marTop w:val="0"/>
          <w:marBottom w:val="0"/>
          <w:divBdr>
            <w:top w:val="none" w:sz="0" w:space="0" w:color="auto"/>
            <w:left w:val="none" w:sz="0" w:space="0" w:color="auto"/>
            <w:bottom w:val="none" w:sz="0" w:space="0" w:color="auto"/>
            <w:right w:val="none" w:sz="0" w:space="0" w:color="auto"/>
          </w:divBdr>
        </w:div>
        <w:div w:id="2086489573">
          <w:marLeft w:val="446"/>
          <w:marRight w:val="0"/>
          <w:marTop w:val="0"/>
          <w:marBottom w:val="0"/>
          <w:divBdr>
            <w:top w:val="none" w:sz="0" w:space="0" w:color="auto"/>
            <w:left w:val="none" w:sz="0" w:space="0" w:color="auto"/>
            <w:bottom w:val="none" w:sz="0" w:space="0" w:color="auto"/>
            <w:right w:val="none" w:sz="0" w:space="0" w:color="auto"/>
          </w:divBdr>
        </w:div>
      </w:divsChild>
    </w:div>
    <w:div w:id="1549756953">
      <w:bodyDiv w:val="1"/>
      <w:marLeft w:val="0"/>
      <w:marRight w:val="0"/>
      <w:marTop w:val="0"/>
      <w:marBottom w:val="0"/>
      <w:divBdr>
        <w:top w:val="none" w:sz="0" w:space="0" w:color="auto"/>
        <w:left w:val="none" w:sz="0" w:space="0" w:color="auto"/>
        <w:bottom w:val="none" w:sz="0" w:space="0" w:color="auto"/>
        <w:right w:val="none" w:sz="0" w:space="0" w:color="auto"/>
      </w:divBdr>
    </w:div>
    <w:div w:id="1581478894">
      <w:bodyDiv w:val="1"/>
      <w:marLeft w:val="0"/>
      <w:marRight w:val="0"/>
      <w:marTop w:val="0"/>
      <w:marBottom w:val="0"/>
      <w:divBdr>
        <w:top w:val="none" w:sz="0" w:space="0" w:color="auto"/>
        <w:left w:val="none" w:sz="0" w:space="0" w:color="auto"/>
        <w:bottom w:val="none" w:sz="0" w:space="0" w:color="auto"/>
        <w:right w:val="none" w:sz="0" w:space="0" w:color="auto"/>
      </w:divBdr>
    </w:div>
    <w:div w:id="1632244763">
      <w:bodyDiv w:val="1"/>
      <w:marLeft w:val="0"/>
      <w:marRight w:val="0"/>
      <w:marTop w:val="0"/>
      <w:marBottom w:val="0"/>
      <w:divBdr>
        <w:top w:val="none" w:sz="0" w:space="0" w:color="auto"/>
        <w:left w:val="none" w:sz="0" w:space="0" w:color="auto"/>
        <w:bottom w:val="none" w:sz="0" w:space="0" w:color="auto"/>
        <w:right w:val="none" w:sz="0" w:space="0" w:color="auto"/>
      </w:divBdr>
    </w:div>
    <w:div w:id="1643267181">
      <w:bodyDiv w:val="1"/>
      <w:marLeft w:val="0"/>
      <w:marRight w:val="0"/>
      <w:marTop w:val="0"/>
      <w:marBottom w:val="0"/>
      <w:divBdr>
        <w:top w:val="none" w:sz="0" w:space="0" w:color="auto"/>
        <w:left w:val="none" w:sz="0" w:space="0" w:color="auto"/>
        <w:bottom w:val="none" w:sz="0" w:space="0" w:color="auto"/>
        <w:right w:val="none" w:sz="0" w:space="0" w:color="auto"/>
      </w:divBdr>
      <w:divsChild>
        <w:div w:id="1924142397">
          <w:marLeft w:val="0"/>
          <w:marRight w:val="0"/>
          <w:marTop w:val="0"/>
          <w:marBottom w:val="0"/>
          <w:divBdr>
            <w:top w:val="none" w:sz="0" w:space="0" w:color="auto"/>
            <w:left w:val="none" w:sz="0" w:space="0" w:color="auto"/>
            <w:bottom w:val="none" w:sz="0" w:space="0" w:color="auto"/>
            <w:right w:val="none" w:sz="0" w:space="0" w:color="auto"/>
          </w:divBdr>
        </w:div>
      </w:divsChild>
    </w:div>
    <w:div w:id="1680740485">
      <w:bodyDiv w:val="1"/>
      <w:marLeft w:val="0"/>
      <w:marRight w:val="0"/>
      <w:marTop w:val="0"/>
      <w:marBottom w:val="0"/>
      <w:divBdr>
        <w:top w:val="none" w:sz="0" w:space="0" w:color="auto"/>
        <w:left w:val="none" w:sz="0" w:space="0" w:color="auto"/>
        <w:bottom w:val="none" w:sz="0" w:space="0" w:color="auto"/>
        <w:right w:val="none" w:sz="0" w:space="0" w:color="auto"/>
      </w:divBdr>
    </w:div>
    <w:div w:id="19964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zga-whocc.de/en/publications/standards-for-sexuality-education/" TargetMode="External"/><Relationship Id="rId18" Type="http://schemas.openxmlformats.org/officeDocument/2006/relationships/hyperlink" Target="https://projects.tuni.fi/erasegb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aestoliitto.fi/ammattilaiset/lasten-kehotunnekasvatus/" TargetMode="External"/><Relationship Id="rId17" Type="http://schemas.openxmlformats.org/officeDocument/2006/relationships/hyperlink" Target="https://www.amnesty.fi/suostumus-ja-sateenkaari-koulussa/" TargetMode="External"/><Relationship Id="rId2" Type="http://schemas.openxmlformats.org/officeDocument/2006/relationships/customXml" Target="../customXml/item2.xml"/><Relationship Id="rId16" Type="http://schemas.openxmlformats.org/officeDocument/2006/relationships/hyperlink" Target="https://www.amnesty.fi/uploads/2022/02/amnesty_suostumusmateriaali_202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avartensomessa.fi/in-english/" TargetMode="External"/><Relationship Id="rId5" Type="http://schemas.openxmlformats.org/officeDocument/2006/relationships/numbering" Target="numbering.xml"/><Relationship Id="rId15" Type="http://schemas.openxmlformats.org/officeDocument/2006/relationships/hyperlink" Target="https://www.suojellaanlapsia.fi/en/post/stop-slow-go-guide-for-parents-car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ildstrategy.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ojellaanlapsia.fi/en/turvallisesti-digiliikenteess%C3%A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rn.fi/URN:ISBN:978-952-244-717-3" TargetMode="External"/><Relationship Id="rId2" Type="http://schemas.openxmlformats.org/officeDocument/2006/relationships/hyperlink" Target="http://urn.fi/URN:ISBN:978-952-383-317-3" TargetMode="External"/><Relationship Id="rId1" Type="http://schemas.openxmlformats.org/officeDocument/2006/relationships/hyperlink" Target="https://urn.fi/URN:ISBN:978-952-408-238-9" TargetMode="External"/><Relationship Id="rId5" Type="http://schemas.openxmlformats.org/officeDocument/2006/relationships/hyperlink" Target="http://urn.fi/URN:ISBN:978-952-383-133-9" TargetMode="External"/><Relationship Id="rId4" Type="http://schemas.openxmlformats.org/officeDocument/2006/relationships/hyperlink" Target="http://www.tilastokesku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ltion.fi\Yhteiset%20tiedostot\YVV\Yhteiset\VIESTINT&#196;_UUSI\SAAVUTETTAVUUS\Saavutettavat%20asiakirjapohjat\Asiakirjapohja%20ENGLISH%202021.dotx" TargetMode="External"/></Relationships>
</file>

<file path=word/theme/theme1.xml><?xml version="1.0" encoding="utf-8"?>
<a:theme xmlns:a="http://schemas.openxmlformats.org/drawingml/2006/main" name="Office-teema">
  <a:themeElements>
    <a:clrScheme name="YVV">
      <a:dk1>
        <a:sysClr val="windowText" lastClr="000000"/>
      </a:dk1>
      <a:lt1>
        <a:sysClr val="window" lastClr="FFFFFF"/>
      </a:lt1>
      <a:dk2>
        <a:srgbClr val="1F497D"/>
      </a:dk2>
      <a:lt2>
        <a:srgbClr val="EEECE1"/>
      </a:lt2>
      <a:accent1>
        <a:srgbClr val="017FAA"/>
      </a:accent1>
      <a:accent2>
        <a:srgbClr val="E21776"/>
      </a:accent2>
      <a:accent3>
        <a:srgbClr val="22A4AD"/>
      </a:accent3>
      <a:accent4>
        <a:srgbClr val="D48119"/>
      </a:accent4>
      <a:accent5>
        <a:srgbClr val="22A4AD"/>
      </a:accent5>
      <a:accent6>
        <a:srgbClr val="E21776"/>
      </a:accent6>
      <a:hlink>
        <a:srgbClr val="0000FF"/>
      </a:hlink>
      <a:folHlink>
        <a:srgbClr val="800080"/>
      </a:folHlink>
    </a:clrScheme>
    <a:fontScheme name="Custom 1">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D0811EC55B4BD4DBE6511DF5FE65050" ma:contentTypeVersion="" ma:contentTypeDescription="Luo uusi asiakirja." ma:contentTypeScope="" ma:versionID="ad04ae4fe7358620ab1b8d13b43d8365">
  <xsd:schema xmlns:xsd="http://www.w3.org/2001/XMLSchema" xmlns:xs="http://www.w3.org/2001/XMLSchema" xmlns:p="http://schemas.microsoft.com/office/2006/metadata/properties" xmlns:ns2="ebb82943-49da-4504-a2f3-a33fb2eb95f1" targetNamespace="http://schemas.microsoft.com/office/2006/metadata/properties" ma:root="true" ma:fieldsID="77efe3f6ac270d920b120e90d34bbc0f"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348D6-AEB1-4D83-A4BB-DDFCBD71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30D8C-E7EE-4499-86B5-5D8469F0B175}">
  <ds:schemaRefs>
    <ds:schemaRef ds:uri="http://schemas.openxmlformats.org/officeDocument/2006/bibliography"/>
  </ds:schemaRefs>
</ds:datastoreItem>
</file>

<file path=customXml/itemProps3.xml><?xml version="1.0" encoding="utf-8"?>
<ds:datastoreItem xmlns:ds="http://schemas.openxmlformats.org/officeDocument/2006/customXml" ds:itemID="{DDB112BB-1FF3-4857-933B-06928FCBBFE5}">
  <ds:schemaRefs>
    <ds:schemaRef ds:uri="http://schemas.microsoft.com/sharepoint/v3/contenttype/forms"/>
  </ds:schemaRefs>
</ds:datastoreItem>
</file>

<file path=customXml/itemProps4.xml><?xml version="1.0" encoding="utf-8"?>
<ds:datastoreItem xmlns:ds="http://schemas.openxmlformats.org/officeDocument/2006/customXml" ds:itemID="{B91A27F4-5789-4007-9957-BA90F6EFC4B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Asiakirjapohja ENGLISH 2021.dotx</Template>
  <TotalTime>77</TotalTime>
  <Pages>19</Pages>
  <Words>5594</Words>
  <Characters>45312</Characters>
  <Application>Microsoft Office Word</Application>
  <DocSecurity>0</DocSecurity>
  <Lines>377</Lines>
  <Paragraphs>101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YVVn kommentit Istabulin sopimuksen osapuolten komitealle Suomen raportista</vt:lpstr>
      <vt:lpstr/>
    </vt:vector>
  </TitlesOfParts>
  <Company>HALTIK</Company>
  <LinksUpToDate>false</LinksUpToDate>
  <CharactersWithSpaces>50805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YVVn kommentit Istabulin sopimuksen osapuolten komitealle Suomen raportista</dc:title>
  <dc:creator>Rantala Marjo (YVV)</dc:creator>
  <cp:keywords>nara;nkv</cp:keywords>
  <cp:lastModifiedBy>Rantala Marjo (YVV)</cp:lastModifiedBy>
  <cp:revision>3</cp:revision>
  <cp:lastPrinted>2023-12-22T12:08:00Z</cp:lastPrinted>
  <dcterms:created xsi:type="dcterms:W3CDTF">2023-12-22T11:04:00Z</dcterms:created>
  <dcterms:modified xsi:type="dcterms:W3CDTF">2023-12-22T12:18:00Z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0x0101003D0811EC55B4BD4DBE6511DF5FE65050</vt:lpwstr>
  </property>
</Properties>
</file>